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E0CC" w14:textId="6929A227" w:rsidR="007973E6" w:rsidRPr="0082218C" w:rsidRDefault="0084749E" w:rsidP="0084749E">
      <w:pPr>
        <w:pStyle w:val="Subtitle"/>
        <w:pBdr>
          <w:bottom w:val="single" w:sz="4" w:space="1" w:color="CC0000"/>
        </w:pBdr>
        <w:ind w:left="2244" w:hanging="2244"/>
        <w:jc w:val="left"/>
        <w:rPr>
          <w:rFonts w:ascii="Trebuchet MS" w:hAnsi="Trebuchet MS" w:cs="Arial"/>
          <w:b/>
          <w:sz w:val="24"/>
          <w:u w:val="none"/>
        </w:rPr>
      </w:pPr>
      <w:r>
        <w:rPr>
          <w:rFonts w:ascii="Trebuchet MS" w:hAnsi="Trebuchet MS" w:cs="Arial"/>
          <w:b/>
          <w:sz w:val="24"/>
          <w:u w:val="none"/>
        </w:rPr>
        <w:t xml:space="preserve">Job Code </w:t>
      </w:r>
      <w:r w:rsidR="00742B66">
        <w:rPr>
          <w:rFonts w:ascii="Trebuchet MS" w:hAnsi="Trebuchet MS" w:cs="Arial"/>
          <w:b/>
          <w:sz w:val="24"/>
          <w:u w:val="none"/>
        </w:rPr>
        <w:t>13</w:t>
      </w:r>
      <w:r w:rsidR="00537EC7">
        <w:rPr>
          <w:rFonts w:ascii="Trebuchet MS" w:hAnsi="Trebuchet MS" w:cs="Arial"/>
          <w:b/>
          <w:sz w:val="24"/>
          <w:u w:val="none"/>
        </w:rPr>
        <w:t>9</w:t>
      </w:r>
      <w:r w:rsidR="007B61BC">
        <w:rPr>
          <w:rFonts w:ascii="Trebuchet MS" w:hAnsi="Trebuchet MS" w:cs="Arial"/>
          <w:b/>
          <w:sz w:val="24"/>
          <w:u w:val="none"/>
        </w:rPr>
        <w:t>b</w:t>
      </w:r>
      <w:bookmarkStart w:id="0" w:name="_GoBack"/>
      <w:bookmarkEnd w:id="0"/>
      <w:r w:rsidR="007B61BC">
        <w:rPr>
          <w:rFonts w:ascii="Trebuchet MS" w:hAnsi="Trebuchet MS" w:cs="Arial"/>
          <w:b/>
          <w:sz w:val="24"/>
          <w:u w:val="none"/>
        </w:rPr>
        <w:tab/>
        <w:t>Quantity</w:t>
      </w:r>
      <w:r w:rsidR="00015A7C">
        <w:rPr>
          <w:rFonts w:ascii="Trebuchet MS" w:hAnsi="Trebuchet MS" w:cs="Arial"/>
          <w:b/>
          <w:sz w:val="24"/>
          <w:u w:val="none"/>
        </w:rPr>
        <w:t xml:space="preserve"> Surveyor</w:t>
      </w:r>
    </w:p>
    <w:p w14:paraId="37B3DD42" w14:textId="77777777" w:rsidR="007973E6" w:rsidRPr="0082218C" w:rsidRDefault="007973E6" w:rsidP="007973E6">
      <w:pPr>
        <w:pStyle w:val="Subtitle"/>
        <w:pBdr>
          <w:bottom w:val="single" w:sz="4" w:space="1" w:color="CC0000"/>
        </w:pBdr>
        <w:rPr>
          <w:rFonts w:ascii="Trebuchet MS" w:hAnsi="Trebuchet MS" w:cs="Arial"/>
          <w:sz w:val="24"/>
        </w:rPr>
      </w:pPr>
    </w:p>
    <w:p w14:paraId="0A3BFD14" w14:textId="2C5F7A24" w:rsidR="007973E6" w:rsidRPr="00537EC7"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84749E">
        <w:rPr>
          <w:rFonts w:ascii="Trebuchet MS" w:hAnsi="Trebuchet MS" w:cs="Arial"/>
          <w:b/>
          <w:bCs/>
          <w:sz w:val="24"/>
          <w:u w:val="none"/>
        </w:rPr>
        <w:tab/>
      </w:r>
      <w:r w:rsidR="002D61D6">
        <w:rPr>
          <w:rFonts w:ascii="Trebuchet MS" w:hAnsi="Trebuchet MS" w:cs="Arial"/>
          <w:bCs/>
          <w:sz w:val="24"/>
          <w:u w:val="none"/>
        </w:rPr>
        <w:t>Managing Surveyor</w:t>
      </w:r>
    </w:p>
    <w:p w14:paraId="3A68A269" w14:textId="77777777" w:rsidR="0084749E" w:rsidRPr="0082218C" w:rsidRDefault="0084749E" w:rsidP="007973E6">
      <w:pPr>
        <w:pStyle w:val="Subtitle"/>
        <w:pBdr>
          <w:bottom w:val="single" w:sz="4" w:space="1" w:color="CC0000"/>
        </w:pBdr>
        <w:ind w:left="2280" w:hanging="2280"/>
        <w:jc w:val="both"/>
        <w:rPr>
          <w:rFonts w:ascii="Trebuchet MS" w:hAnsi="Trebuchet MS" w:cs="Arial"/>
          <w:bCs/>
          <w:sz w:val="24"/>
          <w:u w:val="none"/>
        </w:rPr>
      </w:pPr>
    </w:p>
    <w:p w14:paraId="5B2B6E2F" w14:textId="77777777" w:rsidR="00742B66" w:rsidRDefault="007973E6" w:rsidP="007973E6">
      <w:pPr>
        <w:pStyle w:val="Subtitle"/>
        <w:pBdr>
          <w:bottom w:val="single" w:sz="4" w:space="1" w:color="CC0000"/>
        </w:pBdr>
        <w:ind w:left="2280" w:hanging="2280"/>
        <w:jc w:val="both"/>
        <w:rPr>
          <w:rFonts w:ascii="Trebuchet MS" w:hAnsi="Trebuchet MS" w:cs="Arial"/>
          <w:bCs/>
          <w:sz w:val="24"/>
          <w:u w:val="none"/>
          <w:lang w:val="en-US"/>
        </w:rPr>
      </w:pPr>
      <w:r w:rsidRPr="00742B66">
        <w:rPr>
          <w:rFonts w:ascii="Trebuchet MS" w:hAnsi="Trebuchet MS" w:cs="Arial"/>
          <w:b/>
          <w:bCs/>
          <w:sz w:val="24"/>
          <w:u w:val="none"/>
        </w:rPr>
        <w:t>Purpose:</w:t>
      </w:r>
      <w:r w:rsidRPr="00742B66">
        <w:rPr>
          <w:rFonts w:ascii="Trebuchet MS" w:hAnsi="Trebuchet MS" w:cs="Arial"/>
          <w:bCs/>
          <w:sz w:val="24"/>
          <w:u w:val="none"/>
        </w:rPr>
        <w:t xml:space="preserve">  </w:t>
      </w:r>
      <w:r w:rsidRPr="00742B66">
        <w:rPr>
          <w:rFonts w:ascii="Trebuchet MS" w:hAnsi="Trebuchet MS" w:cs="Arial"/>
          <w:bCs/>
          <w:sz w:val="24"/>
          <w:u w:val="none"/>
        </w:rPr>
        <w:tab/>
      </w:r>
      <w:r w:rsidR="00537EC7" w:rsidRPr="000622C6">
        <w:rPr>
          <w:rFonts w:ascii="Trebuchet MS" w:hAnsi="Trebuchet MS" w:cs="Arial"/>
          <w:bCs/>
          <w:sz w:val="24"/>
          <w:u w:val="none"/>
          <w:lang w:val="en-US"/>
        </w:rPr>
        <w:t>The day to day financial and cost control and reporting of one or more developments from the Award up to and including completion of client and sub-contract final accounts, recovery/discharge of all retentions and completion of archive material</w:t>
      </w:r>
      <w:r w:rsidR="00FE6F8F">
        <w:rPr>
          <w:rFonts w:ascii="Trebuchet MS" w:hAnsi="Trebuchet MS" w:cs="Arial"/>
          <w:bCs/>
          <w:sz w:val="24"/>
          <w:u w:val="none"/>
          <w:lang w:val="en-US"/>
        </w:rPr>
        <w:t>, while supervising and training of assistant and trainee surveyors.</w:t>
      </w:r>
    </w:p>
    <w:p w14:paraId="2C2EEB53" w14:textId="77777777" w:rsidR="00537EC7" w:rsidRPr="0082218C" w:rsidRDefault="00537EC7" w:rsidP="007973E6">
      <w:pPr>
        <w:pStyle w:val="Subtitle"/>
        <w:pBdr>
          <w:bottom w:val="single" w:sz="4" w:space="1" w:color="CC0000"/>
        </w:pBdr>
        <w:ind w:left="2280" w:hanging="2280"/>
        <w:jc w:val="both"/>
        <w:rPr>
          <w:rFonts w:ascii="Trebuchet MS" w:hAnsi="Trebuchet MS" w:cs="Arial"/>
          <w:bCs/>
          <w:sz w:val="24"/>
          <w:u w:val="none"/>
        </w:rPr>
      </w:pPr>
    </w:p>
    <w:p w14:paraId="1F06985C" w14:textId="77777777" w:rsidR="006520A8" w:rsidRDefault="006520A8"/>
    <w:p w14:paraId="5B0FC6A7" w14:textId="77777777"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14:paraId="0744EE95" w14:textId="77777777" w:rsidR="006D0B9C" w:rsidRDefault="006D0B9C" w:rsidP="00BC79B4">
      <w:pPr>
        <w:pStyle w:val="Subtitle"/>
        <w:spacing w:line="20" w:lineRule="atLeast"/>
        <w:jc w:val="both"/>
        <w:rPr>
          <w:rFonts w:ascii="Trebuchet MS" w:hAnsi="Trebuchet MS" w:cs="Arial"/>
          <w:sz w:val="24"/>
          <w:u w:val="none"/>
        </w:rPr>
      </w:pPr>
    </w:p>
    <w:p w14:paraId="7A816B8B" w14:textId="77777777" w:rsidR="00537EC7" w:rsidRPr="000622C6" w:rsidRDefault="00537EC7" w:rsidP="00537EC7">
      <w:pPr>
        <w:widowControl w:val="0"/>
        <w:numPr>
          <w:ilvl w:val="0"/>
          <w:numId w:val="4"/>
        </w:numPr>
        <w:overflowPunct w:val="0"/>
        <w:autoSpaceDE w:val="0"/>
        <w:autoSpaceDN w:val="0"/>
        <w:adjustRightInd w:val="0"/>
        <w:jc w:val="both"/>
        <w:textAlignment w:val="baseline"/>
        <w:rPr>
          <w:lang w:val="en-US"/>
        </w:rPr>
      </w:pPr>
      <w:r w:rsidRPr="000622C6">
        <w:rPr>
          <w:lang w:val="en-US"/>
        </w:rPr>
        <w:t>Effective commercial control of all allocated projects/developments including provision of timely and accurate documentation in accordance with the Surveying timetable, in particular PPRs, all elemental reconciliations, cash flow forecasts, etc.</w:t>
      </w:r>
    </w:p>
    <w:p w14:paraId="0C96EB00" w14:textId="77777777" w:rsidR="00C506D8" w:rsidRDefault="00C506D8" w:rsidP="00C506D8">
      <w:pPr>
        <w:widowControl w:val="0"/>
        <w:overflowPunct w:val="0"/>
        <w:autoSpaceDE w:val="0"/>
        <w:autoSpaceDN w:val="0"/>
        <w:adjustRightInd w:val="0"/>
        <w:jc w:val="both"/>
        <w:textAlignment w:val="baseline"/>
      </w:pPr>
    </w:p>
    <w:p w14:paraId="14C226A2" w14:textId="77777777" w:rsidR="00133328" w:rsidRDefault="00133328" w:rsidP="00BC79B4">
      <w:pPr>
        <w:pStyle w:val="Subtitle"/>
        <w:pBdr>
          <w:top w:val="single" w:sz="4" w:space="1" w:color="auto"/>
          <w:left w:val="single" w:sz="4" w:space="4" w:color="auto"/>
          <w:bottom w:val="single" w:sz="4" w:space="1" w:color="auto"/>
          <w:right w:val="single" w:sz="4" w:space="4" w:color="auto"/>
          <w:between w:val="single" w:sz="4" w:space="1" w:color="auto"/>
        </w:pBdr>
        <w:spacing w:line="20" w:lineRule="atLeast"/>
        <w:rPr>
          <w:rFonts w:ascii="Trebuchet MS" w:hAnsi="Trebuchet MS" w:cs="Arial"/>
          <w:b/>
          <w:bCs/>
          <w:sz w:val="24"/>
          <w:u w:val="none"/>
        </w:rPr>
      </w:pPr>
      <w:r>
        <w:rPr>
          <w:rFonts w:ascii="Trebuchet MS" w:hAnsi="Trebuchet MS" w:cs="Arial"/>
          <w:b/>
          <w:bCs/>
          <w:sz w:val="24"/>
          <w:u w:val="none"/>
        </w:rPr>
        <w:t>Managing the Process</w:t>
      </w:r>
    </w:p>
    <w:p w14:paraId="7750E133" w14:textId="77777777" w:rsidR="00065DF7" w:rsidRDefault="00065DF7" w:rsidP="00BC79B4">
      <w:pPr>
        <w:pStyle w:val="Subtitle"/>
        <w:tabs>
          <w:tab w:val="center" w:pos="4819"/>
          <w:tab w:val="right" w:pos="9639"/>
        </w:tabs>
        <w:spacing w:line="20" w:lineRule="atLeast"/>
        <w:ind w:left="720"/>
        <w:jc w:val="left"/>
        <w:rPr>
          <w:rFonts w:ascii="Trebuchet MS" w:hAnsi="Trebuchet MS" w:cs="Arial"/>
          <w:b/>
          <w:bCs/>
          <w:sz w:val="24"/>
          <w:u w:val="none"/>
        </w:rPr>
      </w:pPr>
    </w:p>
    <w:p w14:paraId="74DC6540" w14:textId="3D45AE13" w:rsidR="00C506D8" w:rsidRDefault="00537EC7" w:rsidP="00C506D8">
      <w:pPr>
        <w:widowControl w:val="0"/>
        <w:numPr>
          <w:ilvl w:val="0"/>
          <w:numId w:val="16"/>
        </w:numPr>
        <w:overflowPunct w:val="0"/>
        <w:autoSpaceDE w:val="0"/>
        <w:autoSpaceDN w:val="0"/>
        <w:adjustRightInd w:val="0"/>
        <w:jc w:val="both"/>
        <w:textAlignment w:val="baseline"/>
        <w:rPr>
          <w:lang w:val="en-US"/>
        </w:rPr>
      </w:pPr>
      <w:r w:rsidRPr="000622C6">
        <w:rPr>
          <w:lang w:val="en-US"/>
        </w:rPr>
        <w:t xml:space="preserve">Effective cash management including pursuit of timely Applications/ Certification/Invoices/internal notices and receipts, careful administration of subcontractor accounts, </w:t>
      </w:r>
      <w:proofErr w:type="gramStart"/>
      <w:r w:rsidRPr="000622C6">
        <w:rPr>
          <w:lang w:val="en-US"/>
        </w:rPr>
        <w:t>at all times</w:t>
      </w:r>
      <w:proofErr w:type="gramEnd"/>
      <w:r w:rsidRPr="000622C6">
        <w:rPr>
          <w:lang w:val="en-US"/>
        </w:rPr>
        <w:t xml:space="preserve"> being </w:t>
      </w:r>
      <w:proofErr w:type="spellStart"/>
      <w:r w:rsidRPr="000622C6">
        <w:rPr>
          <w:lang w:val="en-US"/>
        </w:rPr>
        <w:t>cognisant</w:t>
      </w:r>
      <w:proofErr w:type="spellEnd"/>
      <w:r w:rsidRPr="000622C6">
        <w:rPr>
          <w:lang w:val="en-US"/>
        </w:rPr>
        <w:t xml:space="preserve"> of the need to cultivate effective/longstanding relationships and promote dispute avoidance. </w:t>
      </w:r>
    </w:p>
    <w:p w14:paraId="3533EEBD" w14:textId="12F9C846" w:rsidR="002D61D6" w:rsidRDefault="002D61D6" w:rsidP="00C506D8">
      <w:pPr>
        <w:widowControl w:val="0"/>
        <w:numPr>
          <w:ilvl w:val="0"/>
          <w:numId w:val="16"/>
        </w:numPr>
        <w:overflowPunct w:val="0"/>
        <w:autoSpaceDE w:val="0"/>
        <w:autoSpaceDN w:val="0"/>
        <w:adjustRightInd w:val="0"/>
        <w:jc w:val="both"/>
        <w:textAlignment w:val="baseline"/>
        <w:rPr>
          <w:lang w:val="en-US"/>
        </w:rPr>
      </w:pPr>
      <w:r>
        <w:rPr>
          <w:lang w:val="en-US"/>
        </w:rPr>
        <w:t xml:space="preserve">Support the sales and joint venture relationships to </w:t>
      </w:r>
      <w:proofErr w:type="spellStart"/>
      <w:r>
        <w:rPr>
          <w:lang w:val="en-US"/>
        </w:rPr>
        <w:t>maximise</w:t>
      </w:r>
      <w:proofErr w:type="spellEnd"/>
      <w:r>
        <w:rPr>
          <w:lang w:val="en-US"/>
        </w:rPr>
        <w:t xml:space="preserve"> sales values and consideration of sales inflation on forecast.</w:t>
      </w:r>
    </w:p>
    <w:p w14:paraId="46252EAD" w14:textId="692BFD57" w:rsidR="0049496F" w:rsidRPr="0049496F" w:rsidRDefault="0049496F" w:rsidP="0049496F">
      <w:pPr>
        <w:widowControl w:val="0"/>
        <w:numPr>
          <w:ilvl w:val="0"/>
          <w:numId w:val="16"/>
        </w:numPr>
        <w:overflowPunct w:val="0"/>
        <w:autoSpaceDE w:val="0"/>
        <w:autoSpaceDN w:val="0"/>
        <w:adjustRightInd w:val="0"/>
        <w:jc w:val="both"/>
        <w:textAlignment w:val="baseline"/>
        <w:rPr>
          <w:lang w:val="en-US"/>
        </w:rPr>
      </w:pPr>
      <w:r>
        <w:rPr>
          <w:lang w:val="en-US"/>
        </w:rPr>
        <w:t xml:space="preserve">Produce accurate and </w:t>
      </w:r>
      <w:r w:rsidR="002D61D6">
        <w:rPr>
          <w:lang w:val="en-US"/>
        </w:rPr>
        <w:t>robust</w:t>
      </w:r>
      <w:r>
        <w:rPr>
          <w:lang w:val="en-US"/>
        </w:rPr>
        <w:t xml:space="preserve"> cash flow forecasts.</w:t>
      </w:r>
    </w:p>
    <w:p w14:paraId="1B7C8861" w14:textId="541FAABA" w:rsidR="00C506D8" w:rsidRPr="000622C6" w:rsidRDefault="00FE6F8F" w:rsidP="00C506D8">
      <w:pPr>
        <w:widowControl w:val="0"/>
        <w:numPr>
          <w:ilvl w:val="0"/>
          <w:numId w:val="16"/>
        </w:numPr>
        <w:overflowPunct w:val="0"/>
        <w:autoSpaceDE w:val="0"/>
        <w:autoSpaceDN w:val="0"/>
        <w:adjustRightInd w:val="0"/>
        <w:jc w:val="both"/>
        <w:textAlignment w:val="baseline"/>
        <w:rPr>
          <w:lang w:val="en-US"/>
        </w:rPr>
      </w:pPr>
      <w:r>
        <w:rPr>
          <w:lang w:val="en-US"/>
        </w:rPr>
        <w:t xml:space="preserve">Keeping the </w:t>
      </w:r>
      <w:r w:rsidR="002D61D6">
        <w:rPr>
          <w:lang w:val="en-US"/>
        </w:rPr>
        <w:t>Managing Surveyor</w:t>
      </w:r>
      <w:r w:rsidR="00C506D8" w:rsidRPr="000622C6">
        <w:rPr>
          <w:lang w:val="en-US"/>
        </w:rPr>
        <w:t xml:space="preserve"> informed of the progress of all accounts both Client and Sub-contract through to </w:t>
      </w:r>
      <w:proofErr w:type="spellStart"/>
      <w:r w:rsidR="00C506D8" w:rsidRPr="000622C6">
        <w:rPr>
          <w:lang w:val="en-US"/>
        </w:rPr>
        <w:t>finalisation</w:t>
      </w:r>
      <w:proofErr w:type="spellEnd"/>
      <w:r w:rsidR="00C506D8" w:rsidRPr="000622C6">
        <w:rPr>
          <w:lang w:val="en-US"/>
        </w:rPr>
        <w:t>, including, the release of retentions.</w:t>
      </w:r>
    </w:p>
    <w:p w14:paraId="1388A970" w14:textId="3EB86401" w:rsidR="00C506D8" w:rsidRPr="000622C6" w:rsidRDefault="00C506D8" w:rsidP="00C506D8">
      <w:pPr>
        <w:widowControl w:val="0"/>
        <w:numPr>
          <w:ilvl w:val="0"/>
          <w:numId w:val="16"/>
        </w:numPr>
        <w:overflowPunct w:val="0"/>
        <w:autoSpaceDE w:val="0"/>
        <w:autoSpaceDN w:val="0"/>
        <w:adjustRightInd w:val="0"/>
        <w:jc w:val="both"/>
        <w:textAlignment w:val="baseline"/>
        <w:rPr>
          <w:lang w:val="en-US"/>
        </w:rPr>
      </w:pPr>
      <w:r w:rsidRPr="000622C6">
        <w:rPr>
          <w:lang w:val="en-US"/>
        </w:rPr>
        <w:t>Ensuring, in conjun</w:t>
      </w:r>
      <w:r w:rsidR="00FE6F8F">
        <w:rPr>
          <w:lang w:val="en-US"/>
        </w:rPr>
        <w:t xml:space="preserve">ction with the </w:t>
      </w:r>
      <w:r w:rsidR="00380482">
        <w:rPr>
          <w:lang w:val="en-US"/>
        </w:rPr>
        <w:t>Commercial Administrator</w:t>
      </w:r>
      <w:r w:rsidR="00380482" w:rsidRPr="000622C6">
        <w:rPr>
          <w:lang w:val="en-US"/>
        </w:rPr>
        <w:t xml:space="preserve"> that</w:t>
      </w:r>
      <w:r w:rsidRPr="000622C6">
        <w:rPr>
          <w:lang w:val="en-US"/>
        </w:rPr>
        <w:t xml:space="preserve"> payments/notices are </w:t>
      </w:r>
      <w:proofErr w:type="gramStart"/>
      <w:r w:rsidRPr="000622C6">
        <w:rPr>
          <w:lang w:val="en-US"/>
        </w:rPr>
        <w:t>effected</w:t>
      </w:r>
      <w:proofErr w:type="gramEnd"/>
      <w:r w:rsidRPr="000622C6">
        <w:rPr>
          <w:lang w:val="en-US"/>
        </w:rPr>
        <w:t xml:space="preserve"> in accordance with the Sub-contract and Construction Act and in particular, ensure any commercial threats to Projects are identified swiftly </w:t>
      </w:r>
      <w:r w:rsidR="00FE6F8F">
        <w:rPr>
          <w:lang w:val="en-US"/>
        </w:rPr>
        <w:t xml:space="preserve">and communicated to the </w:t>
      </w:r>
      <w:r w:rsidR="002D61D6">
        <w:rPr>
          <w:lang w:val="en-US"/>
        </w:rPr>
        <w:t>Managing Surveyor</w:t>
      </w:r>
      <w:r w:rsidRPr="000622C6">
        <w:rPr>
          <w:lang w:val="en-US"/>
        </w:rPr>
        <w:t>.</w:t>
      </w:r>
    </w:p>
    <w:p w14:paraId="7CD8EA00" w14:textId="6934F090" w:rsidR="00C506D8" w:rsidRPr="000622C6" w:rsidRDefault="00C506D8" w:rsidP="00C506D8">
      <w:pPr>
        <w:widowControl w:val="0"/>
        <w:numPr>
          <w:ilvl w:val="0"/>
          <w:numId w:val="16"/>
        </w:numPr>
        <w:overflowPunct w:val="0"/>
        <w:autoSpaceDE w:val="0"/>
        <w:autoSpaceDN w:val="0"/>
        <w:adjustRightInd w:val="0"/>
        <w:jc w:val="both"/>
        <w:textAlignment w:val="baseline"/>
        <w:rPr>
          <w:lang w:val="en-US"/>
        </w:rPr>
      </w:pPr>
      <w:r w:rsidRPr="000622C6">
        <w:rPr>
          <w:lang w:val="en-US"/>
        </w:rPr>
        <w:t>Contract Administration – attending monthly project</w:t>
      </w:r>
      <w:r w:rsidR="002D61D6">
        <w:rPr>
          <w:lang w:val="en-US"/>
        </w:rPr>
        <w:t xml:space="preserve">, </w:t>
      </w:r>
      <w:r w:rsidRPr="000622C6">
        <w:rPr>
          <w:lang w:val="en-US"/>
        </w:rPr>
        <w:t>client</w:t>
      </w:r>
      <w:r w:rsidR="002D61D6">
        <w:rPr>
          <w:lang w:val="en-US"/>
        </w:rPr>
        <w:t xml:space="preserve"> and sales</w:t>
      </w:r>
      <w:r w:rsidRPr="000622C6">
        <w:rPr>
          <w:lang w:val="en-US"/>
        </w:rPr>
        <w:t xml:space="preserve"> meetings and ensuring that surveying information and cost advice is provided in an accurate and proficient manner.</w:t>
      </w:r>
    </w:p>
    <w:p w14:paraId="28960AAC" w14:textId="46E612A0" w:rsidR="00C506D8" w:rsidRPr="000622C6" w:rsidRDefault="0049496F" w:rsidP="00C506D8">
      <w:pPr>
        <w:widowControl w:val="0"/>
        <w:numPr>
          <w:ilvl w:val="0"/>
          <w:numId w:val="16"/>
        </w:numPr>
        <w:overflowPunct w:val="0"/>
        <w:autoSpaceDE w:val="0"/>
        <w:autoSpaceDN w:val="0"/>
        <w:adjustRightInd w:val="0"/>
        <w:jc w:val="both"/>
        <w:textAlignment w:val="baseline"/>
        <w:rPr>
          <w:lang w:val="en-US"/>
        </w:rPr>
      </w:pPr>
      <w:r>
        <w:rPr>
          <w:lang w:val="en-US"/>
        </w:rPr>
        <w:t>Establish a procurement programme and enquiry list and e</w:t>
      </w:r>
      <w:r w:rsidR="00C506D8" w:rsidRPr="000622C6">
        <w:rPr>
          <w:lang w:val="en-US"/>
        </w:rPr>
        <w:t xml:space="preserve">nsuring that the procurement of sub-traders and suppliers is undertaken in a timely and </w:t>
      </w:r>
      <w:proofErr w:type="gramStart"/>
      <w:r w:rsidR="00C506D8" w:rsidRPr="000622C6">
        <w:rPr>
          <w:lang w:val="en-US"/>
        </w:rPr>
        <w:t>cost effective</w:t>
      </w:r>
      <w:proofErr w:type="gramEnd"/>
      <w:r w:rsidR="00C506D8" w:rsidRPr="000622C6">
        <w:rPr>
          <w:lang w:val="en-US"/>
        </w:rPr>
        <w:t xml:space="preserve"> manner in liaison with the Managing Surveyor</w:t>
      </w:r>
      <w:r>
        <w:rPr>
          <w:lang w:val="en-US"/>
        </w:rPr>
        <w:t xml:space="preserve"> and/or</w:t>
      </w:r>
      <w:r w:rsidRPr="0049496F">
        <w:rPr>
          <w:lang w:val="en-US"/>
        </w:rPr>
        <w:t xml:space="preserve"> </w:t>
      </w:r>
      <w:r w:rsidR="002D61D6">
        <w:rPr>
          <w:lang w:val="en-US"/>
        </w:rPr>
        <w:t>Commercial Manager</w:t>
      </w:r>
      <w:r w:rsidR="00C506D8" w:rsidRPr="000622C6">
        <w:rPr>
          <w:lang w:val="en-US"/>
        </w:rPr>
        <w:t xml:space="preserve">, ensuring that packages are robust and buying gain is </w:t>
      </w:r>
      <w:proofErr w:type="spellStart"/>
      <w:r w:rsidR="00C506D8" w:rsidRPr="000622C6">
        <w:rPr>
          <w:lang w:val="en-US"/>
        </w:rPr>
        <w:t>optimised</w:t>
      </w:r>
      <w:proofErr w:type="spellEnd"/>
      <w:r w:rsidR="00C506D8" w:rsidRPr="000622C6">
        <w:rPr>
          <w:lang w:val="en-US"/>
        </w:rPr>
        <w:t>.</w:t>
      </w:r>
    </w:p>
    <w:p w14:paraId="1F2427F3" w14:textId="77777777" w:rsidR="00C506D8" w:rsidRPr="000622C6" w:rsidRDefault="00C506D8" w:rsidP="00C506D8">
      <w:pPr>
        <w:widowControl w:val="0"/>
        <w:numPr>
          <w:ilvl w:val="0"/>
          <w:numId w:val="16"/>
        </w:numPr>
        <w:overflowPunct w:val="0"/>
        <w:autoSpaceDE w:val="0"/>
        <w:autoSpaceDN w:val="0"/>
        <w:adjustRightInd w:val="0"/>
        <w:jc w:val="both"/>
        <w:textAlignment w:val="baseline"/>
        <w:rPr>
          <w:lang w:val="en-US"/>
        </w:rPr>
      </w:pPr>
      <w:r w:rsidRPr="000622C6">
        <w:rPr>
          <w:lang w:val="en-US"/>
        </w:rPr>
        <w:t xml:space="preserve">Timely production of the Main/Subcontract Final Accounts, including re-measurement as necessary to facilitate the optimum result, evaluation of all variations a loss and/or expense issues. </w:t>
      </w:r>
    </w:p>
    <w:p w14:paraId="491D6959" w14:textId="77777777" w:rsidR="004A7D86" w:rsidRPr="004A7D86" w:rsidRDefault="004A7D86" w:rsidP="004A7D86">
      <w:pPr>
        <w:widowControl w:val="0"/>
        <w:numPr>
          <w:ilvl w:val="0"/>
          <w:numId w:val="16"/>
        </w:numPr>
        <w:overflowPunct w:val="0"/>
        <w:autoSpaceDE w:val="0"/>
        <w:autoSpaceDN w:val="0"/>
        <w:adjustRightInd w:val="0"/>
        <w:jc w:val="both"/>
        <w:textAlignment w:val="baseline"/>
        <w:rPr>
          <w:lang w:val="en-US"/>
        </w:rPr>
      </w:pPr>
      <w:r w:rsidRPr="004A7D86">
        <w:rPr>
          <w:lang w:val="en-US"/>
        </w:rPr>
        <w:t>Health and Safety - All employees have a statutory duty to look after their own safety and to give due consideration for the safety of others.  Employees also have specific responsibilities as set out in the Company Health and Safety Policy.</w:t>
      </w:r>
    </w:p>
    <w:p w14:paraId="085F4D88" w14:textId="03656191" w:rsidR="004A7D86" w:rsidRDefault="004A7D86" w:rsidP="004A7D86">
      <w:pPr>
        <w:widowControl w:val="0"/>
        <w:numPr>
          <w:ilvl w:val="0"/>
          <w:numId w:val="16"/>
        </w:numPr>
        <w:overflowPunct w:val="0"/>
        <w:autoSpaceDE w:val="0"/>
        <w:autoSpaceDN w:val="0"/>
        <w:adjustRightInd w:val="0"/>
        <w:jc w:val="both"/>
        <w:textAlignment w:val="baseline"/>
        <w:rPr>
          <w:lang w:val="en-US"/>
        </w:rPr>
      </w:pPr>
      <w:r w:rsidRPr="004A7D86">
        <w:rPr>
          <w:lang w:val="en-US"/>
        </w:rPr>
        <w:t xml:space="preserve">Equality &amp; Diversity - All employees must comply with the Company Equality and Diversity Policy, ensuring that </w:t>
      </w:r>
      <w:proofErr w:type="gramStart"/>
      <w:r w:rsidRPr="004A7D86">
        <w:rPr>
          <w:lang w:val="en-US"/>
        </w:rPr>
        <w:t>at all times</w:t>
      </w:r>
      <w:proofErr w:type="gramEnd"/>
      <w:r w:rsidRPr="004A7D86">
        <w:rPr>
          <w:lang w:val="en-US"/>
        </w:rPr>
        <w:t xml:space="preserve"> behaviour is fair and non-discriminatory.</w:t>
      </w:r>
    </w:p>
    <w:p w14:paraId="635C9831" w14:textId="288C468F" w:rsidR="002D61D6" w:rsidRDefault="002D61D6" w:rsidP="002D61D6">
      <w:pPr>
        <w:widowControl w:val="0"/>
        <w:overflowPunct w:val="0"/>
        <w:autoSpaceDE w:val="0"/>
        <w:autoSpaceDN w:val="0"/>
        <w:adjustRightInd w:val="0"/>
        <w:ind w:left="720"/>
        <w:jc w:val="both"/>
        <w:textAlignment w:val="baseline"/>
        <w:rPr>
          <w:lang w:val="en-US"/>
        </w:rPr>
      </w:pPr>
    </w:p>
    <w:p w14:paraId="287BADD9" w14:textId="2BC925C4" w:rsidR="007B61BC" w:rsidRDefault="007B61BC" w:rsidP="002D61D6">
      <w:pPr>
        <w:widowControl w:val="0"/>
        <w:overflowPunct w:val="0"/>
        <w:autoSpaceDE w:val="0"/>
        <w:autoSpaceDN w:val="0"/>
        <w:adjustRightInd w:val="0"/>
        <w:ind w:left="720"/>
        <w:jc w:val="both"/>
        <w:textAlignment w:val="baseline"/>
        <w:rPr>
          <w:lang w:val="en-US"/>
        </w:rPr>
      </w:pPr>
    </w:p>
    <w:p w14:paraId="5EBA9210" w14:textId="77777777" w:rsidR="007B61BC" w:rsidRPr="004A7D86" w:rsidRDefault="007B61BC" w:rsidP="002D61D6">
      <w:pPr>
        <w:widowControl w:val="0"/>
        <w:overflowPunct w:val="0"/>
        <w:autoSpaceDE w:val="0"/>
        <w:autoSpaceDN w:val="0"/>
        <w:adjustRightInd w:val="0"/>
        <w:ind w:left="720"/>
        <w:jc w:val="both"/>
        <w:textAlignment w:val="baseline"/>
        <w:rPr>
          <w:lang w:val="en-US"/>
        </w:rPr>
      </w:pPr>
    </w:p>
    <w:p w14:paraId="4B2E17D9" w14:textId="77777777" w:rsidR="00204986" w:rsidRDefault="00204986" w:rsidP="00BC79B4">
      <w:pPr>
        <w:pStyle w:val="Subtitle"/>
        <w:tabs>
          <w:tab w:val="center" w:pos="4819"/>
          <w:tab w:val="right" w:pos="9639"/>
        </w:tabs>
        <w:spacing w:line="20" w:lineRule="atLeast"/>
        <w:ind w:left="720"/>
        <w:jc w:val="left"/>
        <w:rPr>
          <w:rFonts w:ascii="Trebuchet MS" w:hAnsi="Trebuchet MS" w:cs="Arial"/>
          <w:b/>
          <w:bCs/>
          <w:sz w:val="24"/>
          <w:u w:val="none"/>
        </w:rPr>
      </w:pPr>
    </w:p>
    <w:p w14:paraId="4255B793" w14:textId="77777777" w:rsidR="00133328" w:rsidRDefault="00F43CD7" w:rsidP="00015A7C">
      <w:pPr>
        <w:pStyle w:val="Subtitle"/>
        <w:pBdr>
          <w:top w:val="single" w:sz="4" w:space="1" w:color="auto"/>
          <w:left w:val="single" w:sz="4" w:space="4" w:color="auto"/>
          <w:bottom w:val="single" w:sz="4" w:space="1" w:color="auto"/>
          <w:right w:val="single" w:sz="4" w:space="4" w:color="auto"/>
        </w:pBdr>
        <w:tabs>
          <w:tab w:val="center" w:pos="4819"/>
          <w:tab w:val="right" w:pos="9639"/>
        </w:tabs>
        <w:spacing w:line="20" w:lineRule="atLeast"/>
        <w:jc w:val="left"/>
        <w:rPr>
          <w:rFonts w:ascii="Trebuchet MS" w:hAnsi="Trebuchet MS" w:cs="Arial"/>
          <w:b/>
          <w:bCs/>
          <w:sz w:val="24"/>
          <w:u w:val="none"/>
        </w:rPr>
      </w:pPr>
      <w:r>
        <w:rPr>
          <w:rFonts w:ascii="Trebuchet MS" w:hAnsi="Trebuchet MS" w:cs="Arial"/>
          <w:b/>
          <w:bCs/>
          <w:sz w:val="24"/>
          <w:u w:val="none"/>
        </w:rPr>
        <w:lastRenderedPageBreak/>
        <w:tab/>
      </w:r>
      <w:r w:rsidR="00133328">
        <w:rPr>
          <w:rFonts w:ascii="Trebuchet MS" w:hAnsi="Trebuchet MS" w:cs="Arial"/>
          <w:b/>
          <w:bCs/>
          <w:sz w:val="24"/>
          <w:u w:val="none"/>
        </w:rPr>
        <w:t>Serving the Customer</w:t>
      </w:r>
      <w:r w:rsidR="00015A7C">
        <w:rPr>
          <w:rFonts w:ascii="Trebuchet MS" w:hAnsi="Trebuchet MS" w:cs="Arial"/>
          <w:b/>
          <w:bCs/>
          <w:sz w:val="24"/>
          <w:u w:val="none"/>
        </w:rPr>
        <w:t xml:space="preserve"> </w:t>
      </w:r>
      <w:r w:rsidR="00C71E98">
        <w:rPr>
          <w:rFonts w:ascii="Trebuchet MS" w:hAnsi="Trebuchet MS" w:cs="Arial"/>
          <w:b/>
          <w:bCs/>
          <w:sz w:val="24"/>
          <w:u w:val="none"/>
        </w:rPr>
        <w:t>(Internal and External)</w:t>
      </w:r>
    </w:p>
    <w:p w14:paraId="6D7050C6" w14:textId="77777777" w:rsidR="00A570FA" w:rsidRDefault="00A570FA" w:rsidP="00BC79B4">
      <w:pPr>
        <w:pStyle w:val="Subtitle"/>
        <w:spacing w:line="20" w:lineRule="atLeast"/>
        <w:ind w:left="720"/>
        <w:jc w:val="both"/>
        <w:rPr>
          <w:rFonts w:ascii="Trebuchet MS" w:hAnsi="Trebuchet MS" w:cs="Arial"/>
          <w:sz w:val="24"/>
          <w:u w:val="none"/>
        </w:rPr>
      </w:pPr>
    </w:p>
    <w:p w14:paraId="08D7BBFC" w14:textId="77777777" w:rsidR="00E24772" w:rsidRDefault="00C506D8" w:rsidP="00C506D8">
      <w:pPr>
        <w:widowControl w:val="0"/>
        <w:numPr>
          <w:ilvl w:val="0"/>
          <w:numId w:val="4"/>
        </w:numPr>
        <w:overflowPunct w:val="0"/>
        <w:autoSpaceDE w:val="0"/>
        <w:autoSpaceDN w:val="0"/>
        <w:adjustRightInd w:val="0"/>
        <w:jc w:val="both"/>
        <w:textAlignment w:val="baseline"/>
        <w:rPr>
          <w:lang w:val="en-US"/>
        </w:rPr>
      </w:pPr>
      <w:r w:rsidRPr="000622C6">
        <w:rPr>
          <w:lang w:val="en-US"/>
        </w:rPr>
        <w:t>Effective interaction with other members of the project team promoting the commercial perspective on all issues.</w:t>
      </w:r>
    </w:p>
    <w:p w14:paraId="5753765B" w14:textId="77777777" w:rsidR="00C506D8" w:rsidRPr="00C506D8" w:rsidRDefault="00C506D8" w:rsidP="00C506D8">
      <w:pPr>
        <w:widowControl w:val="0"/>
        <w:numPr>
          <w:ilvl w:val="0"/>
          <w:numId w:val="4"/>
        </w:numPr>
        <w:overflowPunct w:val="0"/>
        <w:autoSpaceDE w:val="0"/>
        <w:autoSpaceDN w:val="0"/>
        <w:adjustRightInd w:val="0"/>
        <w:jc w:val="both"/>
        <w:textAlignment w:val="baseline"/>
        <w:rPr>
          <w:lang w:val="en-US"/>
        </w:rPr>
      </w:pPr>
      <w:r w:rsidRPr="000622C6">
        <w:t>Form and develop relationships with client, PQS and Design Team</w:t>
      </w:r>
      <w:r>
        <w:t>.</w:t>
      </w:r>
    </w:p>
    <w:p w14:paraId="37F069A9" w14:textId="77777777" w:rsidR="00C506D8" w:rsidRPr="00C506D8" w:rsidRDefault="00C506D8" w:rsidP="00C506D8">
      <w:pPr>
        <w:widowControl w:val="0"/>
        <w:numPr>
          <w:ilvl w:val="0"/>
          <w:numId w:val="4"/>
        </w:numPr>
        <w:overflowPunct w:val="0"/>
        <w:autoSpaceDE w:val="0"/>
        <w:autoSpaceDN w:val="0"/>
        <w:adjustRightInd w:val="0"/>
        <w:jc w:val="both"/>
        <w:textAlignment w:val="baseline"/>
        <w:rPr>
          <w:lang w:val="en-US"/>
        </w:rPr>
      </w:pPr>
      <w:r w:rsidRPr="000622C6">
        <w:t>Form and develop relationships with supply chain</w:t>
      </w:r>
      <w:r>
        <w:rPr>
          <w:lang w:val="en-US"/>
        </w:rPr>
        <w:t>.</w:t>
      </w:r>
      <w:r w:rsidRPr="00C506D8">
        <w:t xml:space="preserve"> </w:t>
      </w:r>
    </w:p>
    <w:p w14:paraId="1D1241C0" w14:textId="5CA7921C" w:rsidR="00C506D8" w:rsidRDefault="00C506D8" w:rsidP="00C506D8">
      <w:pPr>
        <w:widowControl w:val="0"/>
        <w:numPr>
          <w:ilvl w:val="0"/>
          <w:numId w:val="4"/>
        </w:numPr>
        <w:overflowPunct w:val="0"/>
        <w:autoSpaceDE w:val="0"/>
        <w:autoSpaceDN w:val="0"/>
        <w:adjustRightInd w:val="0"/>
        <w:jc w:val="both"/>
        <w:textAlignment w:val="baseline"/>
        <w:rPr>
          <w:lang w:val="en-US"/>
        </w:rPr>
      </w:pPr>
      <w:r w:rsidRPr="000622C6">
        <w:t>Working effectively with Site Management</w:t>
      </w:r>
      <w:r w:rsidR="002D61D6">
        <w:t xml:space="preserve">, Sales and the </w:t>
      </w:r>
      <w:r w:rsidRPr="000622C6">
        <w:t>rest of Team</w:t>
      </w:r>
      <w:r>
        <w:t>.</w:t>
      </w:r>
    </w:p>
    <w:p w14:paraId="79A6CA29" w14:textId="77777777" w:rsidR="00BC79B4" w:rsidRPr="0082218C" w:rsidRDefault="00BC79B4" w:rsidP="002D61D6">
      <w:pPr>
        <w:pStyle w:val="Subtitle"/>
        <w:spacing w:line="20" w:lineRule="atLeast"/>
        <w:jc w:val="both"/>
        <w:rPr>
          <w:rFonts w:ascii="Trebuchet MS" w:hAnsi="Trebuchet MS" w:cs="Arial"/>
          <w:sz w:val="24"/>
          <w:u w:val="none"/>
        </w:rPr>
      </w:pPr>
    </w:p>
    <w:p w14:paraId="0EA68082" w14:textId="77777777" w:rsidR="00133328" w:rsidRDefault="00133328" w:rsidP="00BC79B4">
      <w:pPr>
        <w:pStyle w:val="Subtitle"/>
        <w:pBdr>
          <w:top w:val="single" w:sz="4" w:space="1" w:color="auto"/>
          <w:left w:val="single" w:sz="4" w:space="4" w:color="auto"/>
          <w:bottom w:val="single" w:sz="4" w:space="1" w:color="auto"/>
          <w:right w:val="single" w:sz="4" w:space="4" w:color="auto"/>
        </w:pBdr>
        <w:spacing w:line="20" w:lineRule="atLeast"/>
        <w:rPr>
          <w:rFonts w:ascii="Trebuchet MS" w:hAnsi="Trebuchet MS" w:cs="Arial"/>
          <w:b/>
          <w:bCs/>
          <w:sz w:val="24"/>
          <w:u w:val="none"/>
        </w:rPr>
      </w:pPr>
      <w:r>
        <w:rPr>
          <w:rFonts w:ascii="Trebuchet MS" w:hAnsi="Trebuchet MS" w:cs="Arial"/>
          <w:b/>
          <w:bCs/>
          <w:sz w:val="24"/>
          <w:u w:val="none"/>
        </w:rPr>
        <w:t>Delivering Quality</w:t>
      </w:r>
    </w:p>
    <w:p w14:paraId="5E8D09CD" w14:textId="77777777" w:rsidR="002D61D6" w:rsidRDefault="002D61D6" w:rsidP="002D61D6">
      <w:pPr>
        <w:widowControl w:val="0"/>
        <w:spacing w:line="283" w:lineRule="exact"/>
        <w:ind w:left="720"/>
        <w:jc w:val="both"/>
      </w:pPr>
    </w:p>
    <w:p w14:paraId="249CA736" w14:textId="239D2479" w:rsidR="0042368B" w:rsidRPr="00742B66" w:rsidRDefault="00FE6F8F" w:rsidP="0042368B">
      <w:pPr>
        <w:widowControl w:val="0"/>
        <w:numPr>
          <w:ilvl w:val="0"/>
          <w:numId w:val="5"/>
        </w:numPr>
        <w:spacing w:line="283" w:lineRule="exact"/>
        <w:jc w:val="both"/>
      </w:pPr>
      <w:r>
        <w:t>Ensuring work is submitted in a timely manner in line within commercial deadlines, error free</w:t>
      </w:r>
    </w:p>
    <w:p w14:paraId="28C78DFF" w14:textId="77777777" w:rsidR="0042368B" w:rsidRDefault="0042368B" w:rsidP="00BC79B4">
      <w:pPr>
        <w:pStyle w:val="Subtitle"/>
        <w:spacing w:line="20" w:lineRule="atLeast"/>
        <w:ind w:left="720"/>
        <w:jc w:val="both"/>
        <w:rPr>
          <w:rFonts w:ascii="Trebuchet MS" w:hAnsi="Trebuchet MS" w:cs="Arial"/>
          <w:sz w:val="24"/>
          <w:u w:val="none"/>
        </w:rPr>
      </w:pPr>
    </w:p>
    <w:p w14:paraId="0A9F3F24" w14:textId="77777777" w:rsidR="00B8412E" w:rsidRPr="0082218C" w:rsidRDefault="00B8412E" w:rsidP="00B8412E">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14:paraId="1A45F0D7" w14:textId="77777777" w:rsidR="00B8412E" w:rsidRPr="0082218C" w:rsidRDefault="00B8412E" w:rsidP="00B8412E">
      <w:pPr>
        <w:pStyle w:val="Subtitle"/>
        <w:jc w:val="both"/>
        <w:rPr>
          <w:rFonts w:ascii="Trebuchet MS" w:hAnsi="Trebuchet MS" w:cs="Arial"/>
          <w:sz w:val="24"/>
          <w:u w:val="none"/>
        </w:rPr>
      </w:pPr>
      <w:r w:rsidRPr="0082218C">
        <w:rPr>
          <w:rFonts w:ascii="Trebuchet MS" w:hAnsi="Trebuchet MS" w:cs="Arial"/>
          <w:sz w:val="24"/>
          <w:u w:val="none"/>
        </w:rPr>
        <w:tab/>
      </w:r>
    </w:p>
    <w:p w14:paraId="0592596F" w14:textId="77777777" w:rsidR="00B8412E" w:rsidRPr="00E04AE1" w:rsidRDefault="00B8412E" w:rsidP="00B8412E">
      <w:pPr>
        <w:spacing w:after="120"/>
        <w:rPr>
          <w:b/>
          <w:color w:val="000000"/>
        </w:rPr>
      </w:pPr>
      <w:r w:rsidRPr="00E04AE1">
        <w:rPr>
          <w:b/>
          <w:color w:val="000000"/>
        </w:rPr>
        <w:t>Regularly Communicate</w:t>
      </w:r>
    </w:p>
    <w:p w14:paraId="3518EFDF" w14:textId="57FD61E4" w:rsidR="002D61D6" w:rsidRPr="007B61BC" w:rsidRDefault="00B8412E" w:rsidP="00B8412E">
      <w:pPr>
        <w:numPr>
          <w:ilvl w:val="0"/>
          <w:numId w:val="3"/>
        </w:numPr>
        <w:spacing w:after="120"/>
        <w:rPr>
          <w:color w:val="000000"/>
        </w:rPr>
      </w:pPr>
      <w:r w:rsidRPr="00E04AE1">
        <w:rPr>
          <w:color w:val="000000"/>
        </w:rPr>
        <w:t xml:space="preserve">Carry out daily / weekly / monthly communication with </w:t>
      </w:r>
      <w:r w:rsidR="00FE6F8F">
        <w:rPr>
          <w:color w:val="000000"/>
        </w:rPr>
        <w:t xml:space="preserve">site </w:t>
      </w:r>
      <w:r>
        <w:rPr>
          <w:color w:val="000000"/>
        </w:rPr>
        <w:t>team</w:t>
      </w:r>
      <w:r w:rsidR="00FE6F8F">
        <w:rPr>
          <w:color w:val="000000"/>
        </w:rPr>
        <w:t xml:space="preserve"> and any sub-</w:t>
      </w:r>
      <w:r w:rsidR="007B61BC">
        <w:rPr>
          <w:color w:val="000000"/>
        </w:rPr>
        <w:t>contractors</w:t>
      </w:r>
    </w:p>
    <w:p w14:paraId="54A2FBD5"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14:paraId="0BA3EC47" w14:textId="77777777" w:rsidR="00B253A1" w:rsidRDefault="00B253A1" w:rsidP="007973E6">
      <w:pPr>
        <w:pStyle w:val="Subtitle"/>
        <w:jc w:val="both"/>
        <w:rPr>
          <w:rFonts w:ascii="Trebuchet MS" w:hAnsi="Trebuchet MS" w:cs="Arial"/>
          <w:b/>
          <w:bCs/>
          <w:sz w:val="24"/>
          <w:u w:val="none"/>
        </w:rPr>
      </w:pPr>
    </w:p>
    <w:tbl>
      <w:tblPr>
        <w:tblStyle w:val="TableGrid"/>
        <w:tblW w:w="9213" w:type="dxa"/>
        <w:jc w:val="center"/>
        <w:shd w:val="clear" w:color="auto" w:fill="FFFFFF"/>
        <w:tblLayout w:type="fixed"/>
        <w:tblLook w:val="01E0" w:firstRow="1" w:lastRow="1" w:firstColumn="1" w:lastColumn="1" w:noHBand="0" w:noVBand="0"/>
      </w:tblPr>
      <w:tblGrid>
        <w:gridCol w:w="4455"/>
        <w:gridCol w:w="1496"/>
        <w:gridCol w:w="1817"/>
        <w:gridCol w:w="1445"/>
      </w:tblGrid>
      <w:tr w:rsidR="00133328" w:rsidRPr="0082218C" w14:paraId="473678C4" w14:textId="77777777" w:rsidTr="00E24772">
        <w:trPr>
          <w:trHeight w:val="408"/>
          <w:jc w:val="center"/>
        </w:trPr>
        <w:tc>
          <w:tcPr>
            <w:tcW w:w="4455" w:type="dxa"/>
            <w:shd w:val="clear" w:color="auto" w:fill="FFFFFF"/>
          </w:tcPr>
          <w:p w14:paraId="2AAC27BA" w14:textId="77777777"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14:paraId="297CCC6F"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817" w:type="dxa"/>
            <w:tcBorders>
              <w:bottom w:val="single" w:sz="4" w:space="0" w:color="auto"/>
            </w:tcBorders>
            <w:shd w:val="clear" w:color="auto" w:fill="FFFFFF"/>
            <w:vAlign w:val="center"/>
          </w:tcPr>
          <w:p w14:paraId="33BB8B34"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445" w:type="dxa"/>
            <w:tcBorders>
              <w:bottom w:val="single" w:sz="4" w:space="0" w:color="auto"/>
            </w:tcBorders>
            <w:shd w:val="clear" w:color="auto" w:fill="FFFFFF"/>
            <w:vAlign w:val="center"/>
          </w:tcPr>
          <w:p w14:paraId="3CD80B4E"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C506D8" w:rsidRPr="0082218C" w14:paraId="11B0C328" w14:textId="77777777" w:rsidTr="007B61BC">
        <w:trPr>
          <w:trHeight w:val="408"/>
          <w:jc w:val="center"/>
        </w:trPr>
        <w:tc>
          <w:tcPr>
            <w:tcW w:w="4455" w:type="dxa"/>
            <w:shd w:val="clear" w:color="auto" w:fill="auto"/>
          </w:tcPr>
          <w:p w14:paraId="0FC3D158"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Knowledge and protection of contractual position</w:t>
            </w:r>
          </w:p>
        </w:tc>
        <w:tc>
          <w:tcPr>
            <w:tcW w:w="1496" w:type="dxa"/>
            <w:shd w:val="clear" w:color="auto" w:fill="E2EFD9" w:themeFill="accent6" w:themeFillTint="33"/>
          </w:tcPr>
          <w:p w14:paraId="6642E426"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2F377513"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7D93299F" w14:textId="77777777" w:rsidR="00C506D8" w:rsidRPr="007B61BC" w:rsidRDefault="00C506D8" w:rsidP="006F71CB">
            <w:pPr>
              <w:pStyle w:val="Subtitle"/>
              <w:spacing w:before="40" w:after="40"/>
              <w:jc w:val="both"/>
              <w:rPr>
                <w:rFonts w:ascii="Trebuchet MS" w:hAnsi="Trebuchet MS" w:cs="Arial"/>
                <w:sz w:val="24"/>
                <w:u w:val="none"/>
              </w:rPr>
            </w:pPr>
          </w:p>
        </w:tc>
      </w:tr>
      <w:tr w:rsidR="00C506D8" w:rsidRPr="0082218C" w14:paraId="71A2F851" w14:textId="77777777" w:rsidTr="007B61BC">
        <w:trPr>
          <w:trHeight w:val="408"/>
          <w:jc w:val="center"/>
        </w:trPr>
        <w:tc>
          <w:tcPr>
            <w:tcW w:w="4455" w:type="dxa"/>
            <w:shd w:val="clear" w:color="auto" w:fill="auto"/>
          </w:tcPr>
          <w:p w14:paraId="453B9BE4"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Commercial skills to maximise value recovery, cost control and cash management</w:t>
            </w:r>
          </w:p>
        </w:tc>
        <w:tc>
          <w:tcPr>
            <w:tcW w:w="1496" w:type="dxa"/>
            <w:shd w:val="clear" w:color="auto" w:fill="E2EFD9" w:themeFill="accent6" w:themeFillTint="33"/>
          </w:tcPr>
          <w:p w14:paraId="1AD842D0"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7587D5E3"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77256BBC" w14:textId="77777777" w:rsidR="00C506D8" w:rsidRPr="007B61BC" w:rsidRDefault="00C506D8" w:rsidP="006F71CB">
            <w:pPr>
              <w:pStyle w:val="Subtitle"/>
              <w:spacing w:before="40" w:after="40"/>
              <w:jc w:val="both"/>
              <w:rPr>
                <w:rFonts w:ascii="Trebuchet MS" w:hAnsi="Trebuchet MS" w:cs="Arial"/>
                <w:sz w:val="24"/>
                <w:u w:val="none"/>
              </w:rPr>
            </w:pPr>
          </w:p>
        </w:tc>
      </w:tr>
      <w:tr w:rsidR="00C506D8" w:rsidRPr="0082218C" w14:paraId="4269DA07" w14:textId="77777777" w:rsidTr="007B61BC">
        <w:trPr>
          <w:trHeight w:val="408"/>
          <w:jc w:val="center"/>
        </w:trPr>
        <w:tc>
          <w:tcPr>
            <w:tcW w:w="4455" w:type="dxa"/>
            <w:shd w:val="clear" w:color="auto" w:fill="auto"/>
          </w:tcPr>
          <w:p w14:paraId="141D205B"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Knowledge and understanding of measurement and valuation</w:t>
            </w:r>
          </w:p>
        </w:tc>
        <w:tc>
          <w:tcPr>
            <w:tcW w:w="1496" w:type="dxa"/>
            <w:shd w:val="clear" w:color="auto" w:fill="E2EFD9" w:themeFill="accent6" w:themeFillTint="33"/>
          </w:tcPr>
          <w:p w14:paraId="3C6F104F"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0BD18AF5"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00CC8DD5" w14:textId="77777777" w:rsidR="00C506D8" w:rsidRPr="007B61BC" w:rsidRDefault="00C506D8" w:rsidP="006F71CB">
            <w:pPr>
              <w:pStyle w:val="Subtitle"/>
              <w:spacing w:before="40" w:after="40"/>
              <w:jc w:val="both"/>
              <w:rPr>
                <w:rFonts w:ascii="Trebuchet MS" w:hAnsi="Trebuchet MS" w:cs="Arial"/>
                <w:sz w:val="24"/>
                <w:u w:val="none"/>
              </w:rPr>
            </w:pPr>
          </w:p>
        </w:tc>
      </w:tr>
      <w:tr w:rsidR="00C506D8" w:rsidRPr="0082218C" w14:paraId="00326BD4" w14:textId="77777777" w:rsidTr="002D61D6">
        <w:trPr>
          <w:trHeight w:val="408"/>
          <w:jc w:val="center"/>
        </w:trPr>
        <w:tc>
          <w:tcPr>
            <w:tcW w:w="4455" w:type="dxa"/>
            <w:shd w:val="clear" w:color="auto" w:fill="auto"/>
          </w:tcPr>
          <w:p w14:paraId="71DE1A7A"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Preparation and understanding of financial reports</w:t>
            </w:r>
          </w:p>
        </w:tc>
        <w:tc>
          <w:tcPr>
            <w:tcW w:w="1496" w:type="dxa"/>
            <w:shd w:val="clear" w:color="auto" w:fill="E2EFD9" w:themeFill="accent6" w:themeFillTint="33"/>
          </w:tcPr>
          <w:p w14:paraId="70AAC11D"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61BF6D0B"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07C7346A"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4443F8FE" w14:textId="77777777" w:rsidTr="002D61D6">
        <w:trPr>
          <w:trHeight w:val="408"/>
          <w:jc w:val="center"/>
        </w:trPr>
        <w:tc>
          <w:tcPr>
            <w:tcW w:w="4455" w:type="dxa"/>
            <w:shd w:val="clear" w:color="auto" w:fill="auto"/>
          </w:tcPr>
          <w:p w14:paraId="295F42AA"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Knowledge and understanding of final accounts</w:t>
            </w:r>
          </w:p>
        </w:tc>
        <w:tc>
          <w:tcPr>
            <w:tcW w:w="1496" w:type="dxa"/>
            <w:shd w:val="clear" w:color="auto" w:fill="E2EFD9" w:themeFill="accent6" w:themeFillTint="33"/>
          </w:tcPr>
          <w:p w14:paraId="468D3266"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31D35596"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14:paraId="13872FDD"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35E0EC2A" w14:textId="77777777" w:rsidTr="002D61D6">
        <w:trPr>
          <w:trHeight w:val="408"/>
          <w:jc w:val="center"/>
        </w:trPr>
        <w:tc>
          <w:tcPr>
            <w:tcW w:w="4455" w:type="dxa"/>
            <w:shd w:val="clear" w:color="auto" w:fill="auto"/>
          </w:tcPr>
          <w:p w14:paraId="7EB3FB97" w14:textId="77777777" w:rsidR="00C506D8" w:rsidRPr="000622C6" w:rsidRDefault="00C506D8" w:rsidP="0085680B">
            <w:pPr>
              <w:pStyle w:val="Subtitle"/>
              <w:spacing w:before="40" w:after="40"/>
              <w:jc w:val="both"/>
              <w:rPr>
                <w:rFonts w:ascii="Trebuchet MS" w:hAnsi="Trebuchet MS" w:cs="Arial"/>
                <w:sz w:val="24"/>
                <w:u w:val="none"/>
              </w:rPr>
            </w:pPr>
            <w:r w:rsidRPr="000622C6">
              <w:rPr>
                <w:rFonts w:ascii="Trebuchet MS" w:hAnsi="Trebuchet MS" w:cs="Arial"/>
                <w:sz w:val="24"/>
                <w:u w:val="none"/>
              </w:rPr>
              <w:t>Knowledge and understanding of sub-contract orders and buying</w:t>
            </w:r>
          </w:p>
        </w:tc>
        <w:tc>
          <w:tcPr>
            <w:tcW w:w="1496" w:type="dxa"/>
            <w:shd w:val="clear" w:color="auto" w:fill="E2EFD9" w:themeFill="accent6" w:themeFillTint="33"/>
          </w:tcPr>
          <w:p w14:paraId="59C7CF75"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616EA23B"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14:paraId="6C528C65"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31419BC5" w14:textId="77777777" w:rsidTr="002D61D6">
        <w:trPr>
          <w:trHeight w:val="408"/>
          <w:jc w:val="center"/>
        </w:trPr>
        <w:tc>
          <w:tcPr>
            <w:tcW w:w="4455" w:type="dxa"/>
            <w:shd w:val="clear" w:color="auto" w:fill="auto"/>
          </w:tcPr>
          <w:p w14:paraId="10D0C946" w14:textId="77777777" w:rsidR="00C506D8" w:rsidRPr="000622C6" w:rsidRDefault="00C506D8" w:rsidP="0085680B">
            <w:pPr>
              <w:pStyle w:val="Subtitle"/>
              <w:spacing w:before="40" w:after="40"/>
              <w:jc w:val="both"/>
              <w:rPr>
                <w:rFonts w:ascii="Trebuchet MS" w:hAnsi="Trebuchet MS" w:cs="Arial"/>
                <w:sz w:val="24"/>
                <w:u w:val="none"/>
              </w:rPr>
            </w:pPr>
            <w:r>
              <w:rPr>
                <w:rFonts w:ascii="Trebuchet MS" w:hAnsi="Trebuchet MS" w:cs="Arial"/>
                <w:sz w:val="24"/>
                <w:u w:val="none"/>
              </w:rPr>
              <w:t>COINS</w:t>
            </w:r>
          </w:p>
        </w:tc>
        <w:tc>
          <w:tcPr>
            <w:tcW w:w="1496" w:type="dxa"/>
            <w:shd w:val="clear" w:color="auto" w:fill="E2EFD9" w:themeFill="accent6" w:themeFillTint="33"/>
          </w:tcPr>
          <w:p w14:paraId="34C636E1"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33343546"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74EC889B"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752EF99B" w14:textId="77777777" w:rsidTr="002D61D6">
        <w:trPr>
          <w:trHeight w:val="408"/>
          <w:jc w:val="center"/>
        </w:trPr>
        <w:tc>
          <w:tcPr>
            <w:tcW w:w="4455" w:type="dxa"/>
            <w:shd w:val="clear" w:color="auto" w:fill="auto"/>
          </w:tcPr>
          <w:p w14:paraId="3D0198FA" w14:textId="77777777" w:rsidR="00C506D8" w:rsidRPr="000622C6" w:rsidRDefault="00C506D8" w:rsidP="0085680B">
            <w:pPr>
              <w:pStyle w:val="Subtitle"/>
              <w:spacing w:before="40" w:after="40"/>
              <w:jc w:val="both"/>
              <w:rPr>
                <w:rFonts w:ascii="Trebuchet MS" w:hAnsi="Trebuchet MS" w:cs="Arial"/>
                <w:sz w:val="24"/>
                <w:u w:val="none"/>
              </w:rPr>
            </w:pPr>
            <w:r>
              <w:rPr>
                <w:rFonts w:ascii="Trebuchet MS" w:hAnsi="Trebuchet MS" w:cs="Arial"/>
                <w:sz w:val="24"/>
                <w:u w:val="none"/>
              </w:rPr>
              <w:t>Microsoft Word</w:t>
            </w:r>
          </w:p>
        </w:tc>
        <w:tc>
          <w:tcPr>
            <w:tcW w:w="1496" w:type="dxa"/>
            <w:shd w:val="clear" w:color="auto" w:fill="E2EFD9" w:themeFill="accent6" w:themeFillTint="33"/>
          </w:tcPr>
          <w:p w14:paraId="01568272"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14:paraId="6ED6F7CC"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47ED49A4"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7084AD7C" w14:textId="77777777" w:rsidTr="002D61D6">
        <w:trPr>
          <w:trHeight w:val="408"/>
          <w:jc w:val="center"/>
        </w:trPr>
        <w:tc>
          <w:tcPr>
            <w:tcW w:w="4455" w:type="dxa"/>
            <w:shd w:val="clear" w:color="auto" w:fill="auto"/>
          </w:tcPr>
          <w:p w14:paraId="262AB821" w14:textId="77777777" w:rsidR="00C506D8" w:rsidRPr="000622C6" w:rsidRDefault="00C506D8" w:rsidP="0085680B">
            <w:pPr>
              <w:pStyle w:val="Subtitle"/>
              <w:spacing w:before="40" w:after="40"/>
              <w:jc w:val="both"/>
              <w:rPr>
                <w:rFonts w:ascii="Trebuchet MS" w:hAnsi="Trebuchet MS" w:cs="Arial"/>
                <w:sz w:val="24"/>
                <w:u w:val="none"/>
              </w:rPr>
            </w:pPr>
            <w:r>
              <w:rPr>
                <w:rFonts w:ascii="Trebuchet MS" w:hAnsi="Trebuchet MS" w:cs="Arial"/>
                <w:sz w:val="24"/>
                <w:u w:val="none"/>
              </w:rPr>
              <w:t>Microsoft Excel</w:t>
            </w:r>
          </w:p>
        </w:tc>
        <w:tc>
          <w:tcPr>
            <w:tcW w:w="1496" w:type="dxa"/>
            <w:tcBorders>
              <w:bottom w:val="single" w:sz="4" w:space="0" w:color="auto"/>
            </w:tcBorders>
            <w:shd w:val="clear" w:color="auto" w:fill="E2EFD9" w:themeFill="accent6" w:themeFillTint="33"/>
          </w:tcPr>
          <w:p w14:paraId="4FE6978A"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14:paraId="5C5062E5"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12EEDC43"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50CFDD1D" w14:textId="77777777" w:rsidTr="002D61D6">
        <w:trPr>
          <w:trHeight w:val="408"/>
          <w:jc w:val="center"/>
        </w:trPr>
        <w:tc>
          <w:tcPr>
            <w:tcW w:w="4455" w:type="dxa"/>
            <w:shd w:val="clear" w:color="auto" w:fill="auto"/>
          </w:tcPr>
          <w:p w14:paraId="2D006243" w14:textId="77777777" w:rsidR="00C506D8" w:rsidRPr="000622C6" w:rsidRDefault="00C506D8" w:rsidP="0085680B">
            <w:pPr>
              <w:pStyle w:val="Subtitle"/>
              <w:spacing w:before="40" w:after="40"/>
              <w:jc w:val="both"/>
              <w:rPr>
                <w:rFonts w:ascii="Trebuchet MS" w:hAnsi="Trebuchet MS" w:cs="Arial"/>
                <w:sz w:val="24"/>
                <w:u w:val="none"/>
              </w:rPr>
            </w:pPr>
            <w:r>
              <w:rPr>
                <w:rFonts w:ascii="Trebuchet MS" w:hAnsi="Trebuchet MS" w:cs="Arial"/>
                <w:sz w:val="24"/>
                <w:u w:val="none"/>
              </w:rPr>
              <w:t>Microsoft PowerPoint</w:t>
            </w:r>
          </w:p>
        </w:tc>
        <w:tc>
          <w:tcPr>
            <w:tcW w:w="1496" w:type="dxa"/>
            <w:shd w:val="clear" w:color="auto" w:fill="E2EFD9" w:themeFill="accent6" w:themeFillTint="33"/>
          </w:tcPr>
          <w:p w14:paraId="02C673B1" w14:textId="77777777" w:rsidR="00C506D8" w:rsidRPr="0082218C" w:rsidRDefault="00C506D8" w:rsidP="006F71CB">
            <w:pPr>
              <w:pStyle w:val="Subtitle"/>
              <w:spacing w:before="40" w:after="40"/>
              <w:jc w:val="both"/>
              <w:rPr>
                <w:rFonts w:ascii="Trebuchet MS" w:hAnsi="Trebuchet MS" w:cs="Arial"/>
                <w:sz w:val="24"/>
                <w:u w:val="none"/>
              </w:rPr>
            </w:pPr>
          </w:p>
        </w:tc>
        <w:tc>
          <w:tcPr>
            <w:tcW w:w="1817" w:type="dxa"/>
            <w:shd w:val="clear" w:color="auto" w:fill="auto"/>
          </w:tcPr>
          <w:p w14:paraId="12510E7E" w14:textId="77777777" w:rsidR="00C506D8" w:rsidRPr="0082218C" w:rsidRDefault="00C506D8" w:rsidP="006F71CB">
            <w:pPr>
              <w:pStyle w:val="Subtitle"/>
              <w:spacing w:before="40" w:after="40"/>
              <w:jc w:val="both"/>
              <w:rPr>
                <w:rFonts w:ascii="Trebuchet MS" w:hAnsi="Trebuchet MS" w:cs="Arial"/>
                <w:sz w:val="24"/>
                <w:u w:val="none"/>
              </w:rPr>
            </w:pPr>
          </w:p>
        </w:tc>
        <w:tc>
          <w:tcPr>
            <w:tcW w:w="1445" w:type="dxa"/>
            <w:shd w:val="clear" w:color="auto" w:fill="auto"/>
          </w:tcPr>
          <w:p w14:paraId="4AA5AC4D" w14:textId="77777777" w:rsidR="00C506D8" w:rsidRPr="0082218C" w:rsidRDefault="00C506D8" w:rsidP="006F71CB">
            <w:pPr>
              <w:pStyle w:val="Subtitle"/>
              <w:spacing w:before="40" w:after="40"/>
              <w:jc w:val="both"/>
              <w:rPr>
                <w:rFonts w:ascii="Trebuchet MS" w:hAnsi="Trebuchet MS" w:cs="Arial"/>
                <w:sz w:val="24"/>
                <w:u w:val="none"/>
              </w:rPr>
            </w:pPr>
          </w:p>
        </w:tc>
      </w:tr>
      <w:tr w:rsidR="00C506D8" w:rsidRPr="0082218C" w14:paraId="17297FF0" w14:textId="77777777" w:rsidTr="002D61D6">
        <w:trPr>
          <w:trHeight w:val="408"/>
          <w:jc w:val="center"/>
        </w:trPr>
        <w:tc>
          <w:tcPr>
            <w:tcW w:w="4455" w:type="dxa"/>
            <w:shd w:val="clear" w:color="auto" w:fill="auto"/>
          </w:tcPr>
          <w:p w14:paraId="516284E4" w14:textId="77777777" w:rsidR="00C506D8" w:rsidRPr="004A6418" w:rsidRDefault="00C506D8" w:rsidP="00336FFB">
            <w:pPr>
              <w:pStyle w:val="Subtitle"/>
              <w:spacing w:before="40" w:after="40"/>
              <w:jc w:val="both"/>
              <w:rPr>
                <w:rFonts w:ascii="Trebuchet MS" w:hAnsi="Trebuchet MS" w:cs="Arial"/>
                <w:sz w:val="24"/>
                <w:u w:val="none"/>
              </w:rPr>
            </w:pPr>
            <w:r>
              <w:rPr>
                <w:rFonts w:ascii="Trebuchet MS" w:hAnsi="Trebuchet MS" w:cs="Arial"/>
                <w:sz w:val="24"/>
                <w:u w:val="none"/>
              </w:rPr>
              <w:t>Microsoft Outlook</w:t>
            </w:r>
          </w:p>
        </w:tc>
        <w:tc>
          <w:tcPr>
            <w:tcW w:w="1496" w:type="dxa"/>
            <w:tcBorders>
              <w:bottom w:val="single" w:sz="4" w:space="0" w:color="auto"/>
            </w:tcBorders>
            <w:shd w:val="clear" w:color="auto" w:fill="E2EFD9" w:themeFill="accent6" w:themeFillTint="33"/>
          </w:tcPr>
          <w:p w14:paraId="4B90F31F" w14:textId="77777777" w:rsidR="00C506D8" w:rsidRPr="00B7510C" w:rsidRDefault="00C506D8" w:rsidP="00356200">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14:paraId="12CBD35E" w14:textId="77777777" w:rsidR="00C506D8" w:rsidRPr="00B7510C" w:rsidRDefault="00C506D8" w:rsidP="00356200">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14:paraId="30786E3A" w14:textId="77777777" w:rsidR="00C506D8" w:rsidRPr="0082218C" w:rsidRDefault="00C506D8" w:rsidP="006F71CB">
            <w:pPr>
              <w:pStyle w:val="Subtitle"/>
              <w:spacing w:before="40" w:after="40"/>
              <w:jc w:val="both"/>
              <w:rPr>
                <w:rFonts w:ascii="Trebuchet MS" w:hAnsi="Trebuchet MS" w:cs="Arial"/>
                <w:sz w:val="24"/>
                <w:u w:val="none"/>
              </w:rPr>
            </w:pPr>
          </w:p>
        </w:tc>
      </w:tr>
    </w:tbl>
    <w:p w14:paraId="2E1DDE00" w14:textId="77777777" w:rsidR="00E24772" w:rsidRDefault="00E24772" w:rsidP="0084127B">
      <w:pPr>
        <w:pStyle w:val="Subtitle"/>
        <w:jc w:val="left"/>
        <w:rPr>
          <w:rFonts w:ascii="Trebuchet MS" w:hAnsi="Trebuchet MS" w:cs="Arial"/>
          <w:b/>
          <w:bCs/>
          <w:sz w:val="24"/>
          <w:u w:val="none"/>
        </w:rPr>
      </w:pPr>
    </w:p>
    <w:p w14:paraId="4ADA683C" w14:textId="77777777" w:rsidR="006962FE" w:rsidRDefault="006962FE" w:rsidP="00CF1E4B">
      <w:pPr>
        <w:rPr>
          <w:b/>
        </w:rPr>
      </w:pPr>
    </w:p>
    <w:p w14:paraId="37DDB584" w14:textId="77777777" w:rsidR="006C7306" w:rsidRPr="00DF2607" w:rsidRDefault="006C7306" w:rsidP="006C7306">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14:paraId="4F895C1F" w14:textId="77777777" w:rsidR="007973E6" w:rsidRPr="009B33BE" w:rsidRDefault="007973E6" w:rsidP="007973E6">
      <w:pPr>
        <w:rPr>
          <w:b/>
        </w:rPr>
      </w:pPr>
    </w:p>
    <w:p w14:paraId="63A002ED" w14:textId="77777777" w:rsidR="007973E6" w:rsidRDefault="007973E6" w:rsidP="00C506D8">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C35E84">
        <w:t>People Development site in INSITE</w:t>
      </w:r>
      <w:r w:rsidRPr="009B33BE">
        <w:t>.  Full course descriptions explaining the content of these courses are al</w:t>
      </w:r>
      <w:r w:rsidR="00C35E84">
        <w:t>so available on INSITE</w:t>
      </w:r>
      <w:r w:rsidRPr="009B33BE">
        <w:t>.</w:t>
      </w:r>
    </w:p>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D052" w14:textId="77777777" w:rsidR="0092089C" w:rsidRDefault="0092089C" w:rsidP="003326C8">
      <w:pPr>
        <w:pStyle w:val="Footer"/>
      </w:pPr>
      <w:r>
        <w:separator/>
      </w:r>
    </w:p>
  </w:endnote>
  <w:endnote w:type="continuationSeparator" w:id="0">
    <w:p w14:paraId="54144A16" w14:textId="77777777" w:rsidR="0092089C" w:rsidRDefault="0092089C"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8F8E" w14:textId="77777777" w:rsidR="005C3187" w:rsidRPr="00C04E08" w:rsidRDefault="005C3187"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5C3187" w14:paraId="4FCD78B2" w14:textId="77777777" w:rsidTr="00C04E08">
      <w:tc>
        <w:tcPr>
          <w:tcW w:w="3285" w:type="dxa"/>
          <w:vAlign w:val="center"/>
        </w:tcPr>
        <w:p w14:paraId="649CF674" w14:textId="77777777" w:rsidR="005C3187" w:rsidRPr="00C04E08" w:rsidRDefault="007B61BC" w:rsidP="00C04E08">
          <w:pPr>
            <w:pStyle w:val="Footer"/>
            <w:rPr>
              <w:color w:val="CC0000"/>
              <w:sz w:val="20"/>
              <w:szCs w:val="20"/>
            </w:rPr>
          </w:pPr>
          <w:hyperlink r:id="rId1" w:history="1">
            <w:r w:rsidR="005C3187" w:rsidRPr="00C04E08">
              <w:rPr>
                <w:rStyle w:val="Hyperlink"/>
                <w:color w:val="CC0000"/>
                <w:sz w:val="20"/>
                <w:szCs w:val="20"/>
              </w:rPr>
              <w:t>www.lovell.co.uk</w:t>
            </w:r>
          </w:hyperlink>
        </w:p>
      </w:tc>
      <w:tc>
        <w:tcPr>
          <w:tcW w:w="3285" w:type="dxa"/>
          <w:vAlign w:val="center"/>
        </w:tcPr>
        <w:p w14:paraId="74A79EFF" w14:textId="0B03B6E6" w:rsidR="005C3187" w:rsidRPr="00C04E08" w:rsidRDefault="005C3187" w:rsidP="00C35E84">
          <w:pPr>
            <w:pStyle w:val="Footer"/>
            <w:jc w:val="center"/>
            <w:rPr>
              <w:sz w:val="20"/>
              <w:szCs w:val="20"/>
            </w:rPr>
          </w:pPr>
          <w:r w:rsidRPr="00C04E08">
            <w:rPr>
              <w:sz w:val="20"/>
              <w:szCs w:val="20"/>
            </w:rPr>
            <w:t xml:space="preserve">Revised </w:t>
          </w:r>
          <w:r w:rsidR="007B61BC">
            <w:rPr>
              <w:sz w:val="20"/>
              <w:szCs w:val="20"/>
            </w:rPr>
            <w:t>July</w:t>
          </w:r>
          <w:r w:rsidR="002D61D6">
            <w:rPr>
              <w:sz w:val="20"/>
              <w:szCs w:val="20"/>
            </w:rPr>
            <w:t xml:space="preserve"> 2021</w:t>
          </w:r>
        </w:p>
      </w:tc>
      <w:tc>
        <w:tcPr>
          <w:tcW w:w="3285" w:type="dxa"/>
          <w:vAlign w:val="center"/>
        </w:tcPr>
        <w:p w14:paraId="5D8B9B30" w14:textId="77777777" w:rsidR="005C3187" w:rsidRPr="00C04E08" w:rsidRDefault="00C35E84" w:rsidP="00C04E08">
          <w:pPr>
            <w:pStyle w:val="Footer"/>
            <w:jc w:val="right"/>
            <w:rPr>
              <w:sz w:val="20"/>
              <w:szCs w:val="20"/>
            </w:rPr>
          </w:pPr>
          <w:r w:rsidRPr="00234BF5">
            <w:rPr>
              <w:noProof/>
            </w:rPr>
            <w:drawing>
              <wp:inline distT="0" distB="0" distL="0" distR="0" wp14:anchorId="7DC32379" wp14:editId="4234C8C0">
                <wp:extent cx="1047750" cy="238125"/>
                <wp:effectExtent l="0" t="0" r="0" b="9525"/>
                <wp:docPr id="1"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14:paraId="189C32F6" w14:textId="77777777" w:rsidR="005C3187" w:rsidRDefault="005C3187"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2CFF" w14:textId="77777777" w:rsidR="0092089C" w:rsidRDefault="0092089C" w:rsidP="003326C8">
      <w:pPr>
        <w:pStyle w:val="Footer"/>
      </w:pPr>
      <w:r>
        <w:separator/>
      </w:r>
    </w:p>
  </w:footnote>
  <w:footnote w:type="continuationSeparator" w:id="0">
    <w:p w14:paraId="4F32C396" w14:textId="77777777" w:rsidR="0092089C" w:rsidRDefault="0092089C"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9D2"/>
    <w:multiLevelType w:val="hybridMultilevel"/>
    <w:tmpl w:val="92DEB3BA"/>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06964"/>
    <w:multiLevelType w:val="hybridMultilevel"/>
    <w:tmpl w:val="6EFE9106"/>
    <w:lvl w:ilvl="0" w:tplc="29FAA74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56C5"/>
    <w:multiLevelType w:val="hybridMultilevel"/>
    <w:tmpl w:val="DD382B78"/>
    <w:lvl w:ilvl="0" w:tplc="08090005">
      <w:start w:val="1"/>
      <w:numFmt w:val="bullet"/>
      <w:lvlText w:val=""/>
      <w:lvlJc w:val="left"/>
      <w:pPr>
        <w:tabs>
          <w:tab w:val="num" w:pos="1080"/>
        </w:tabs>
        <w:ind w:left="1080" w:hanging="360"/>
      </w:pPr>
      <w:rPr>
        <w:rFonts w:ascii="Wingdings" w:hAnsi="Wingdings" w:hint="default"/>
      </w:rPr>
    </w:lvl>
    <w:lvl w:ilvl="1" w:tplc="A234421A">
      <w:numFmt w:val="bullet"/>
      <w:lvlText w:val="-"/>
      <w:lvlJc w:val="left"/>
      <w:pPr>
        <w:tabs>
          <w:tab w:val="num" w:pos="1800"/>
        </w:tabs>
        <w:ind w:left="1800" w:hanging="360"/>
      </w:pPr>
      <w:rPr>
        <w:rFonts w:ascii="Trebuchet MS" w:eastAsia="Times New Roman" w:hAnsi="Trebuchet MS" w:cs="Times New Roman" w:hint="default"/>
      </w:rPr>
    </w:lvl>
    <w:lvl w:ilvl="2" w:tplc="1660CE36">
      <w:start w:val="11"/>
      <w:numFmt w:val="decimal"/>
      <w:lvlText w:val="%3."/>
      <w:lvlJc w:val="left"/>
      <w:pPr>
        <w:tabs>
          <w:tab w:val="num" w:pos="2700"/>
        </w:tabs>
        <w:ind w:left="2700" w:hanging="360"/>
      </w:pPr>
      <w:rPr>
        <w:rFonts w:hint="default"/>
        <w:b w:val="0"/>
        <w:color w:val="auto"/>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36B036F"/>
    <w:multiLevelType w:val="hybridMultilevel"/>
    <w:tmpl w:val="BFEEC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607F0B"/>
    <w:multiLevelType w:val="hybridMultilevel"/>
    <w:tmpl w:val="25A0CA68"/>
    <w:lvl w:ilvl="0" w:tplc="80328A84">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15F0A"/>
    <w:multiLevelType w:val="hybridMultilevel"/>
    <w:tmpl w:val="54EE9618"/>
    <w:lvl w:ilvl="0" w:tplc="71DA4A3A">
      <w:start w:val="1"/>
      <w:numFmt w:val="decimal"/>
      <w:lvlText w:val="%1."/>
      <w:legacy w:legacy="1" w:legacySpace="120" w:legacyIndent="360"/>
      <w:lvlJc w:val="left"/>
      <w:pPr>
        <w:ind w:left="360" w:hanging="360"/>
      </w:pPr>
    </w:lvl>
    <w:lvl w:ilvl="1" w:tplc="71DA4A3A">
      <w:start w:val="1"/>
      <w:numFmt w:val="decimal"/>
      <w:lvlText w:val="%2."/>
      <w:legacy w:legacy="1" w:legacySpace="120" w:legacyIndent="360"/>
      <w:lvlJc w:val="left"/>
      <w:pPr>
        <w:ind w:left="36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9C3EDC"/>
    <w:multiLevelType w:val="hybridMultilevel"/>
    <w:tmpl w:val="9968B946"/>
    <w:lvl w:ilvl="0" w:tplc="08090001">
      <w:start w:val="1"/>
      <w:numFmt w:val="bullet"/>
      <w:lvlText w:val=""/>
      <w:lvlJc w:val="left"/>
      <w:pPr>
        <w:tabs>
          <w:tab w:val="num" w:pos="1080"/>
        </w:tabs>
        <w:ind w:left="1080" w:hanging="360"/>
      </w:pPr>
      <w:rPr>
        <w:rFonts w:ascii="Symbol" w:hAnsi="Symbol" w:hint="default"/>
      </w:rPr>
    </w:lvl>
    <w:lvl w:ilvl="1" w:tplc="A65CB188">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F20966"/>
    <w:multiLevelType w:val="hybridMultilevel"/>
    <w:tmpl w:val="606A3A28"/>
    <w:lvl w:ilvl="0" w:tplc="A65CB188">
      <w:start w:val="1"/>
      <w:numFmt w:val="bullet"/>
      <w:lvlText w:val=""/>
      <w:lvlJc w:val="left"/>
      <w:pPr>
        <w:tabs>
          <w:tab w:val="num" w:pos="720"/>
        </w:tabs>
        <w:ind w:left="720" w:hanging="360"/>
      </w:pPr>
      <w:rPr>
        <w:rFonts w:ascii="Symbol" w:hAnsi="Symbol" w:hint="default"/>
      </w:rPr>
    </w:lvl>
    <w:lvl w:ilvl="1" w:tplc="A65CB188">
      <w:start w:val="1"/>
      <w:numFmt w:val="bullet"/>
      <w:lvlText w:val=""/>
      <w:lvlJc w:val="left"/>
      <w:pPr>
        <w:tabs>
          <w:tab w:val="num" w:pos="1440"/>
        </w:tabs>
        <w:ind w:left="1440" w:hanging="360"/>
      </w:pPr>
      <w:rPr>
        <w:rFonts w:ascii="Symbol" w:hAnsi="Symbol" w:hint="default"/>
      </w:rPr>
    </w:lvl>
    <w:lvl w:ilvl="2" w:tplc="A65CB188">
      <w:start w:val="1"/>
      <w:numFmt w:val="bullet"/>
      <w:lvlText w:val=""/>
      <w:lvlJc w:val="left"/>
      <w:pPr>
        <w:tabs>
          <w:tab w:val="num" w:pos="1440"/>
        </w:tabs>
        <w:ind w:left="1440" w:hanging="360"/>
      </w:pPr>
      <w:rPr>
        <w:rFonts w:ascii="Symbol" w:hAnsi="Symbol" w:hint="default"/>
      </w:rPr>
    </w:lvl>
    <w:lvl w:ilvl="3" w:tplc="08090005">
      <w:start w:val="1"/>
      <w:numFmt w:val="bullet"/>
      <w:lvlText w:val=""/>
      <w:lvlJc w:val="left"/>
      <w:pPr>
        <w:tabs>
          <w:tab w:val="num" w:pos="2880"/>
        </w:tabs>
        <w:ind w:left="2880" w:hanging="360"/>
      </w:pPr>
      <w:rPr>
        <w:rFonts w:ascii="Wingdings" w:hAnsi="Wingdings" w:hint="default"/>
      </w:rPr>
    </w:lvl>
    <w:lvl w:ilvl="4" w:tplc="88B62950">
      <w:start w:val="10"/>
      <w:numFmt w:val="decimal"/>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757980"/>
    <w:multiLevelType w:val="hybridMultilevel"/>
    <w:tmpl w:val="F752BB1E"/>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8394D"/>
    <w:multiLevelType w:val="hybridMultilevel"/>
    <w:tmpl w:val="2E02668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A65CB188">
      <w:start w:val="1"/>
      <w:numFmt w:val="bullet"/>
      <w:lvlText w:val=""/>
      <w:lvlJc w:val="left"/>
      <w:pPr>
        <w:tabs>
          <w:tab w:val="num" w:pos="1440"/>
        </w:tabs>
        <w:ind w:left="14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1A6753"/>
    <w:multiLevelType w:val="hybridMultilevel"/>
    <w:tmpl w:val="5C20C654"/>
    <w:lvl w:ilvl="0" w:tplc="A65CB188">
      <w:start w:val="1"/>
      <w:numFmt w:val="bullet"/>
      <w:lvlText w:val=""/>
      <w:lvlJc w:val="left"/>
      <w:pPr>
        <w:tabs>
          <w:tab w:val="num" w:pos="1069"/>
        </w:tabs>
        <w:ind w:left="1069" w:hanging="360"/>
      </w:pPr>
      <w:rPr>
        <w:rFonts w:ascii="Symbol" w:hAnsi="Symbol" w:hint="default"/>
      </w:rPr>
    </w:lvl>
    <w:lvl w:ilvl="1" w:tplc="71DA4A3A">
      <w:start w:val="1"/>
      <w:numFmt w:val="decimal"/>
      <w:lvlText w:val="%2."/>
      <w:legacy w:legacy="1" w:legacySpace="120" w:legacyIndent="360"/>
      <w:lvlJc w:val="left"/>
      <w:pPr>
        <w:ind w:left="1069" w:hanging="360"/>
      </w:pPr>
    </w:lvl>
    <w:lvl w:ilvl="2" w:tplc="0809001B">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4" w15:restartNumberingAfterBreak="0">
    <w:nsid w:val="70F9466D"/>
    <w:multiLevelType w:val="hybridMultilevel"/>
    <w:tmpl w:val="08982BAE"/>
    <w:lvl w:ilvl="0" w:tplc="A65CB188">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E14FAE"/>
    <w:multiLevelType w:val="hybridMultilevel"/>
    <w:tmpl w:val="EEA4A4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511C7C"/>
    <w:multiLevelType w:val="hybridMultilevel"/>
    <w:tmpl w:val="E340CB5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7"/>
  </w:num>
  <w:num w:numId="4">
    <w:abstractNumId w:val="10"/>
  </w:num>
  <w:num w:numId="5">
    <w:abstractNumId w:val="16"/>
  </w:num>
  <w:num w:numId="6">
    <w:abstractNumId w:val="0"/>
  </w:num>
  <w:num w:numId="7">
    <w:abstractNumId w:val="14"/>
  </w:num>
  <w:num w:numId="8">
    <w:abstractNumId w:val="9"/>
  </w:num>
  <w:num w:numId="9">
    <w:abstractNumId w:val="2"/>
  </w:num>
  <w:num w:numId="10">
    <w:abstractNumId w:val="11"/>
  </w:num>
  <w:num w:numId="11">
    <w:abstractNumId w:val="6"/>
  </w:num>
  <w:num w:numId="12">
    <w:abstractNumId w:val="4"/>
  </w:num>
  <w:num w:numId="13">
    <w:abstractNumId w:val="13"/>
  </w:num>
  <w:num w:numId="14">
    <w:abstractNumId w:val="5"/>
  </w:num>
  <w:num w:numId="15">
    <w:abstractNumId w:val="3"/>
  </w:num>
  <w:num w:numId="16">
    <w:abstractNumId w:val="12"/>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08"/>
    <w:rsid w:val="00015A7C"/>
    <w:rsid w:val="000252FA"/>
    <w:rsid w:val="000447B4"/>
    <w:rsid w:val="00047EA0"/>
    <w:rsid w:val="00065DF7"/>
    <w:rsid w:val="000A0D96"/>
    <w:rsid w:val="000C21F3"/>
    <w:rsid w:val="000D5616"/>
    <w:rsid w:val="000F11AD"/>
    <w:rsid w:val="000F517C"/>
    <w:rsid w:val="00100F5A"/>
    <w:rsid w:val="00103972"/>
    <w:rsid w:val="00131DCA"/>
    <w:rsid w:val="00133328"/>
    <w:rsid w:val="00145D64"/>
    <w:rsid w:val="00187A64"/>
    <w:rsid w:val="0019465A"/>
    <w:rsid w:val="001C30B5"/>
    <w:rsid w:val="00204986"/>
    <w:rsid w:val="00211078"/>
    <w:rsid w:val="00222A60"/>
    <w:rsid w:val="00235DD9"/>
    <w:rsid w:val="002773D8"/>
    <w:rsid w:val="0029795A"/>
    <w:rsid w:val="002C0529"/>
    <w:rsid w:val="002D61D6"/>
    <w:rsid w:val="002E7A38"/>
    <w:rsid w:val="00321359"/>
    <w:rsid w:val="0033200A"/>
    <w:rsid w:val="003326C8"/>
    <w:rsid w:val="00336FFB"/>
    <w:rsid w:val="00356200"/>
    <w:rsid w:val="003669D6"/>
    <w:rsid w:val="00380482"/>
    <w:rsid w:val="00405C1B"/>
    <w:rsid w:val="0042368B"/>
    <w:rsid w:val="00425583"/>
    <w:rsid w:val="0048598E"/>
    <w:rsid w:val="0049496F"/>
    <w:rsid w:val="004A7D86"/>
    <w:rsid w:val="00523FAD"/>
    <w:rsid w:val="00537EC7"/>
    <w:rsid w:val="00541516"/>
    <w:rsid w:val="005958BD"/>
    <w:rsid w:val="005B59ED"/>
    <w:rsid w:val="005C3187"/>
    <w:rsid w:val="005D6979"/>
    <w:rsid w:val="006520A8"/>
    <w:rsid w:val="00654A7A"/>
    <w:rsid w:val="00666489"/>
    <w:rsid w:val="006962FE"/>
    <w:rsid w:val="006C7306"/>
    <w:rsid w:val="006D0B9C"/>
    <w:rsid w:val="006F71CB"/>
    <w:rsid w:val="00715E62"/>
    <w:rsid w:val="00722097"/>
    <w:rsid w:val="00742B66"/>
    <w:rsid w:val="00792D71"/>
    <w:rsid w:val="00796302"/>
    <w:rsid w:val="007973E6"/>
    <w:rsid w:val="007B1157"/>
    <w:rsid w:val="007B61BC"/>
    <w:rsid w:val="007C017E"/>
    <w:rsid w:val="008101B3"/>
    <w:rsid w:val="00837EEC"/>
    <w:rsid w:val="0084127B"/>
    <w:rsid w:val="0084749E"/>
    <w:rsid w:val="0085680B"/>
    <w:rsid w:val="00880104"/>
    <w:rsid w:val="008E44A8"/>
    <w:rsid w:val="00906F95"/>
    <w:rsid w:val="00917F5E"/>
    <w:rsid w:val="0092089C"/>
    <w:rsid w:val="00926745"/>
    <w:rsid w:val="00952541"/>
    <w:rsid w:val="00973F81"/>
    <w:rsid w:val="009C181A"/>
    <w:rsid w:val="009C1822"/>
    <w:rsid w:val="00A14F3F"/>
    <w:rsid w:val="00A25AA3"/>
    <w:rsid w:val="00A570FA"/>
    <w:rsid w:val="00A611CC"/>
    <w:rsid w:val="00A763F7"/>
    <w:rsid w:val="00AA23E2"/>
    <w:rsid w:val="00AD1FC6"/>
    <w:rsid w:val="00B253A1"/>
    <w:rsid w:val="00B452E6"/>
    <w:rsid w:val="00B80EE2"/>
    <w:rsid w:val="00B8412E"/>
    <w:rsid w:val="00BA4897"/>
    <w:rsid w:val="00BC79B4"/>
    <w:rsid w:val="00C04E08"/>
    <w:rsid w:val="00C065B5"/>
    <w:rsid w:val="00C35E84"/>
    <w:rsid w:val="00C506D8"/>
    <w:rsid w:val="00C71E98"/>
    <w:rsid w:val="00C90D65"/>
    <w:rsid w:val="00CF1BC9"/>
    <w:rsid w:val="00CF1E4B"/>
    <w:rsid w:val="00D11F8B"/>
    <w:rsid w:val="00D1572B"/>
    <w:rsid w:val="00D77713"/>
    <w:rsid w:val="00D86DB1"/>
    <w:rsid w:val="00D96CF7"/>
    <w:rsid w:val="00DC5F34"/>
    <w:rsid w:val="00DD3E6E"/>
    <w:rsid w:val="00E15961"/>
    <w:rsid w:val="00E23C9A"/>
    <w:rsid w:val="00E24772"/>
    <w:rsid w:val="00E5249F"/>
    <w:rsid w:val="00E85E0E"/>
    <w:rsid w:val="00EB0A5E"/>
    <w:rsid w:val="00F32E89"/>
    <w:rsid w:val="00F43CD7"/>
    <w:rsid w:val="00F61CA9"/>
    <w:rsid w:val="00F70784"/>
    <w:rsid w:val="00F8441D"/>
    <w:rsid w:val="00F91E08"/>
    <w:rsid w:val="00FC4148"/>
    <w:rsid w:val="00FD20A8"/>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0BD02"/>
  <w15:chartTrackingRefBased/>
  <w15:docId w15:val="{022FFC90-21E7-4EA2-85FF-CE432F8F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4A7D86"/>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4045</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GOAKES, Matthew (LPANG)</cp:lastModifiedBy>
  <cp:revision>2</cp:revision>
  <cp:lastPrinted>2009-04-03T14:43:00Z</cp:lastPrinted>
  <dcterms:created xsi:type="dcterms:W3CDTF">2021-07-19T21:41:00Z</dcterms:created>
  <dcterms:modified xsi:type="dcterms:W3CDTF">2021-07-19T21:41:00Z</dcterms:modified>
</cp:coreProperties>
</file>