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E6" w:rsidRPr="0082218C" w:rsidRDefault="00080C58" w:rsidP="004B776D">
      <w:pPr>
        <w:pStyle w:val="Subtitle"/>
        <w:tabs>
          <w:tab w:val="left" w:pos="2268"/>
        </w:tabs>
        <w:jc w:val="left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Job Code</w:t>
      </w:r>
      <w:r w:rsidR="0069638F">
        <w:rPr>
          <w:rFonts w:ascii="Trebuchet MS" w:hAnsi="Trebuchet MS" w:cs="Arial"/>
          <w:b/>
          <w:sz w:val="24"/>
          <w:u w:val="none"/>
        </w:rPr>
        <w:t xml:space="preserve"> </w:t>
      </w:r>
      <w:bookmarkStart w:id="0" w:name="_GoBack"/>
      <w:bookmarkEnd w:id="0"/>
      <w:r w:rsidR="0077471F">
        <w:rPr>
          <w:rFonts w:ascii="Trebuchet MS" w:hAnsi="Trebuchet MS" w:cs="Arial"/>
          <w:b/>
          <w:sz w:val="24"/>
          <w:u w:val="none"/>
        </w:rPr>
        <w:tab/>
      </w:r>
      <w:r w:rsidR="00A75865">
        <w:rPr>
          <w:rFonts w:ascii="Trebuchet MS" w:hAnsi="Trebuchet MS" w:cs="Arial"/>
          <w:b/>
          <w:sz w:val="24"/>
          <w:u w:val="none"/>
        </w:rPr>
        <w:t xml:space="preserve">Cleaner </w:t>
      </w:r>
      <w:r w:rsidR="00602F94">
        <w:rPr>
          <w:rFonts w:ascii="Trebuchet MS" w:hAnsi="Trebuchet MS" w:cs="Arial"/>
          <w:b/>
          <w:sz w:val="24"/>
          <w:u w:val="none"/>
        </w:rPr>
        <w:tab/>
      </w:r>
      <w:r w:rsidR="00B13362">
        <w:rPr>
          <w:rFonts w:ascii="Trebuchet MS" w:hAnsi="Trebuchet MS" w:cs="Arial"/>
          <w:b/>
          <w:sz w:val="24"/>
          <w:u w:val="none"/>
        </w:rPr>
        <w:tab/>
      </w:r>
      <w:r w:rsidR="007973E6" w:rsidRPr="0082218C">
        <w:rPr>
          <w:rFonts w:ascii="Trebuchet MS" w:hAnsi="Trebuchet MS" w:cs="Arial"/>
          <w:b/>
          <w:sz w:val="24"/>
          <w:u w:val="none"/>
        </w:rPr>
        <w:tab/>
        <w:t xml:space="preserve">  </w:t>
      </w:r>
    </w:p>
    <w:p w:rsidR="007973E6" w:rsidRPr="0082218C" w:rsidRDefault="007973E6" w:rsidP="004B776D">
      <w:pPr>
        <w:pStyle w:val="Subtitle"/>
        <w:tabs>
          <w:tab w:val="left" w:pos="2268"/>
        </w:tabs>
        <w:rPr>
          <w:rFonts w:ascii="Trebuchet MS" w:hAnsi="Trebuchet MS" w:cs="Arial"/>
          <w:sz w:val="24"/>
        </w:rPr>
      </w:pPr>
    </w:p>
    <w:p w:rsidR="007973E6" w:rsidRPr="004B776D" w:rsidRDefault="007973E6" w:rsidP="004B776D">
      <w:pPr>
        <w:pStyle w:val="Subtitle"/>
        <w:tabs>
          <w:tab w:val="left" w:pos="2268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Reporting to:</w:t>
      </w:r>
      <w:r w:rsidR="004B776D">
        <w:rPr>
          <w:rFonts w:ascii="Trebuchet MS" w:hAnsi="Trebuchet MS" w:cs="Arial"/>
          <w:b/>
          <w:bCs/>
          <w:sz w:val="24"/>
          <w:u w:val="none"/>
        </w:rPr>
        <w:tab/>
      </w:r>
      <w:r w:rsidR="00A75865">
        <w:rPr>
          <w:rFonts w:ascii="Trebuchet MS" w:hAnsi="Trebuchet MS" w:cs="Arial"/>
          <w:bCs/>
          <w:sz w:val="24"/>
          <w:u w:val="none"/>
        </w:rPr>
        <w:t>Site</w:t>
      </w:r>
      <w:r w:rsidR="004B776D">
        <w:rPr>
          <w:rFonts w:ascii="Trebuchet MS" w:hAnsi="Trebuchet MS" w:cs="Arial"/>
          <w:bCs/>
          <w:sz w:val="24"/>
          <w:u w:val="none"/>
        </w:rPr>
        <w:t xml:space="preserve"> Manager</w:t>
      </w:r>
    </w:p>
    <w:p w:rsidR="00B13362" w:rsidRPr="0082218C" w:rsidRDefault="00B13362" w:rsidP="004B776D">
      <w:pPr>
        <w:pStyle w:val="Subtitle"/>
        <w:tabs>
          <w:tab w:val="left" w:pos="2268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7973E6" w:rsidRDefault="007973E6" w:rsidP="004B776D">
      <w:pPr>
        <w:pStyle w:val="Subtitle"/>
        <w:pBdr>
          <w:bottom w:val="single" w:sz="4" w:space="1" w:color="CC0000"/>
        </w:pBdr>
        <w:tabs>
          <w:tab w:val="left" w:pos="2268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Purpose: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A75865" w:rsidRPr="0057661D">
        <w:rPr>
          <w:rFonts w:ascii="Trebuchet MS" w:hAnsi="Trebuchet MS" w:cs="Arial"/>
          <w:bCs/>
          <w:sz w:val="24"/>
          <w:u w:val="none"/>
        </w:rPr>
        <w:t xml:space="preserve">Cleaning of the site compound </w:t>
      </w:r>
    </w:p>
    <w:p w:rsidR="00065DF7" w:rsidRPr="0082218C" w:rsidRDefault="00065DF7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6520A8" w:rsidRDefault="006520A8"/>
    <w:p w:rsidR="007973E6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:rsidR="00080C58" w:rsidRDefault="00080C58" w:rsidP="00080C58">
      <w:pPr>
        <w:pStyle w:val="Subtitle"/>
        <w:spacing w:after="120"/>
        <w:jc w:val="both"/>
        <w:rPr>
          <w:rFonts w:ascii="Trebuchet MS" w:hAnsi="Trebuchet MS" w:cs="Arial"/>
          <w:sz w:val="24"/>
          <w:u w:val="none"/>
        </w:rPr>
      </w:pPr>
    </w:p>
    <w:p w:rsidR="00080C58" w:rsidRPr="0057661D" w:rsidRDefault="004F7016" w:rsidP="00285D77">
      <w:pPr>
        <w:pStyle w:val="Subtitle"/>
        <w:numPr>
          <w:ilvl w:val="0"/>
          <w:numId w:val="1"/>
        </w:numPr>
        <w:tabs>
          <w:tab w:val="clear" w:pos="360"/>
        </w:tabs>
        <w:spacing w:after="120"/>
        <w:jc w:val="both"/>
        <w:rPr>
          <w:rFonts w:ascii="Trebuchet MS" w:hAnsi="Trebuchet MS" w:cs="Arial"/>
          <w:sz w:val="24"/>
          <w:u w:val="none"/>
        </w:rPr>
      </w:pPr>
      <w:r w:rsidRPr="0057661D">
        <w:rPr>
          <w:rFonts w:ascii="Trebuchet MS" w:hAnsi="Trebuchet MS" w:cs="Arial"/>
          <w:sz w:val="24"/>
          <w:u w:val="none"/>
        </w:rPr>
        <w:t>Site office and canteen</w:t>
      </w:r>
      <w:r w:rsidR="004B776D" w:rsidRPr="0057661D">
        <w:rPr>
          <w:rFonts w:ascii="Trebuchet MS" w:hAnsi="Trebuchet MS" w:cs="Arial"/>
          <w:sz w:val="24"/>
          <w:u w:val="none"/>
        </w:rPr>
        <w:t xml:space="preserve"> presentation</w:t>
      </w:r>
    </w:p>
    <w:p w:rsidR="00B13362" w:rsidRDefault="0057661D" w:rsidP="00285D77">
      <w:pPr>
        <w:pStyle w:val="Subtitle"/>
        <w:numPr>
          <w:ilvl w:val="0"/>
          <w:numId w:val="1"/>
        </w:numPr>
        <w:tabs>
          <w:tab w:val="clear" w:pos="360"/>
        </w:tabs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 xml:space="preserve">Liaison with </w:t>
      </w:r>
      <w:r w:rsidR="004B776D">
        <w:rPr>
          <w:rFonts w:ascii="Trebuchet MS" w:hAnsi="Trebuchet MS" w:cs="Arial"/>
          <w:sz w:val="24"/>
          <w:u w:val="none"/>
        </w:rPr>
        <w:t>site</w:t>
      </w:r>
    </w:p>
    <w:p w:rsidR="004B776D" w:rsidRDefault="0057661D" w:rsidP="00285D77">
      <w:pPr>
        <w:pStyle w:val="Subtitle"/>
        <w:numPr>
          <w:ilvl w:val="0"/>
          <w:numId w:val="1"/>
        </w:numPr>
        <w:tabs>
          <w:tab w:val="clear" w:pos="360"/>
        </w:tabs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Working in the safe manner all the times</w:t>
      </w:r>
    </w:p>
    <w:p w:rsidR="00133328" w:rsidRDefault="00133328" w:rsidP="00F43CD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:rsidR="00285D77" w:rsidRPr="00285D77" w:rsidRDefault="004B776D" w:rsidP="00285D77">
      <w:pPr>
        <w:pStyle w:val="Subtitle"/>
        <w:numPr>
          <w:ilvl w:val="0"/>
          <w:numId w:val="2"/>
        </w:numPr>
        <w:spacing w:before="120" w:line="360" w:lineRule="auto"/>
        <w:jc w:val="both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Maintaining the present</w:t>
      </w:r>
      <w:r w:rsidR="00285D77">
        <w:rPr>
          <w:rFonts w:ascii="Trebuchet MS" w:hAnsi="Trebuchet MS" w:cs="Arial"/>
          <w:bCs/>
          <w:sz w:val="24"/>
          <w:u w:val="none"/>
        </w:rPr>
        <w:t>ation and condition of the compound</w:t>
      </w:r>
      <w:r>
        <w:rPr>
          <w:rFonts w:ascii="Trebuchet MS" w:hAnsi="Trebuchet MS" w:cs="Arial"/>
          <w:bCs/>
          <w:sz w:val="24"/>
          <w:u w:val="none"/>
        </w:rPr>
        <w:t xml:space="preserve"> arena.</w:t>
      </w:r>
    </w:p>
    <w:p w:rsidR="00285D77" w:rsidRPr="00285D77" w:rsidRDefault="00285D77" w:rsidP="00285D7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Daily Cleaning requirements to the s</w:t>
      </w:r>
      <w:r w:rsidRPr="00285D77">
        <w:rPr>
          <w:rFonts w:ascii="Trebuchet MS" w:hAnsi="Trebuchet MS"/>
          <w:sz w:val="24"/>
          <w:szCs w:val="24"/>
        </w:rPr>
        <w:t>ite compound area, inclusive of:</w:t>
      </w:r>
    </w:p>
    <w:p w:rsidR="00285D77" w:rsidRPr="00285D77" w:rsidRDefault="00285D77" w:rsidP="00285D77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Vacuum Carpeted Floors</w:t>
      </w:r>
    </w:p>
    <w:p w:rsidR="00285D77" w:rsidRPr="00285D77" w:rsidRDefault="00285D77" w:rsidP="00285D77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Brush &amp; Mop vinyl/hard surface floo</w:t>
      </w:r>
      <w:r w:rsidR="0057661D">
        <w:rPr>
          <w:rFonts w:ascii="Trebuchet MS" w:hAnsi="Trebuchet MS"/>
          <w:sz w:val="24"/>
          <w:szCs w:val="24"/>
        </w:rPr>
        <w:t xml:space="preserve">rs </w:t>
      </w:r>
      <w:proofErr w:type="spellStart"/>
      <w:r w:rsidR="0057661D">
        <w:rPr>
          <w:rFonts w:ascii="Trebuchet MS" w:hAnsi="Trebuchet MS"/>
          <w:sz w:val="24"/>
          <w:szCs w:val="24"/>
        </w:rPr>
        <w:t>e.g</w:t>
      </w:r>
      <w:proofErr w:type="spellEnd"/>
      <w:r w:rsidR="0057661D">
        <w:rPr>
          <w:rFonts w:ascii="Trebuchet MS" w:hAnsi="Trebuchet MS"/>
          <w:sz w:val="24"/>
          <w:szCs w:val="24"/>
        </w:rPr>
        <w:t xml:space="preserve"> Canteen, Kitchen, Toilet</w:t>
      </w:r>
      <w:r w:rsidRPr="00285D77">
        <w:rPr>
          <w:rFonts w:ascii="Trebuchet MS" w:hAnsi="Trebuchet MS"/>
          <w:sz w:val="24"/>
          <w:szCs w:val="24"/>
        </w:rPr>
        <w:t>s, Boot room &amp; Meeting Room Floors</w:t>
      </w:r>
    </w:p>
    <w:p w:rsidR="00285D77" w:rsidRPr="00285D77" w:rsidRDefault="00285D77" w:rsidP="00285D77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Wipe down all surfaces, work desks, food preparation and eating surfaces</w:t>
      </w:r>
    </w:p>
    <w:p w:rsidR="00285D77" w:rsidRPr="00285D77" w:rsidRDefault="00285D77" w:rsidP="00285D77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Rinse off dishes, cups and cutlery and load/unload the site dishwasher</w:t>
      </w:r>
    </w:p>
    <w:p w:rsidR="00285D77" w:rsidRPr="00285D77" w:rsidRDefault="00285D77" w:rsidP="00285D77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Clean and Bleach all sink/shower and toilet units in the Site &amp; Office staff toilets</w:t>
      </w:r>
    </w:p>
    <w:p w:rsidR="00285D77" w:rsidRPr="00285D77" w:rsidRDefault="00285D77" w:rsidP="00285D77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Internal cleaning of all windows</w:t>
      </w:r>
    </w:p>
    <w:p w:rsidR="00285D77" w:rsidRPr="00285D77" w:rsidRDefault="00285D77" w:rsidP="00285D77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Maintain, monitor &amp; replenish cleaning equipment, toilet rolls, paper towels and all other cleaning accessories required</w:t>
      </w:r>
    </w:p>
    <w:p w:rsidR="00285D77" w:rsidRPr="00285D77" w:rsidRDefault="00285D77" w:rsidP="00285D77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Maintain overall cleanliness of the site compound area</w:t>
      </w:r>
    </w:p>
    <w:p w:rsidR="00285D77" w:rsidRPr="00285D77" w:rsidRDefault="00285D77" w:rsidP="00285D77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/>
          <w:sz w:val="24"/>
          <w:szCs w:val="24"/>
        </w:rPr>
      </w:pPr>
      <w:r w:rsidRPr="00285D77">
        <w:rPr>
          <w:rFonts w:ascii="Trebuchet MS" w:hAnsi="Trebuchet MS"/>
          <w:sz w:val="24"/>
          <w:szCs w:val="24"/>
        </w:rPr>
        <w:t>Empty all waste disposal bins and reline</w:t>
      </w:r>
    </w:p>
    <w:p w:rsidR="00285D77" w:rsidRPr="00285D77" w:rsidRDefault="00285D77" w:rsidP="00285D77">
      <w:pPr>
        <w:pStyle w:val="ListParagraph"/>
        <w:spacing w:line="360" w:lineRule="auto"/>
        <w:ind w:left="1080"/>
        <w:rPr>
          <w:rFonts w:ascii="Trebuchet MS" w:hAnsi="Trebuchet MS"/>
          <w:sz w:val="16"/>
          <w:szCs w:val="16"/>
        </w:rPr>
      </w:pPr>
    </w:p>
    <w:p w:rsidR="00133328" w:rsidRDefault="00F43CD7" w:rsidP="00AB187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ab/>
      </w:r>
      <w:r w:rsidR="00133328">
        <w:rPr>
          <w:rFonts w:ascii="Trebuchet MS" w:hAnsi="Trebuchet MS" w:cs="Arial"/>
          <w:b/>
          <w:bCs/>
          <w:sz w:val="24"/>
          <w:u w:val="none"/>
        </w:rPr>
        <w:t>Serving the Customer</w:t>
      </w:r>
      <w:r w:rsidR="003F16E1">
        <w:rPr>
          <w:rFonts w:ascii="Trebuchet MS" w:hAnsi="Trebuchet MS" w:cs="Arial"/>
          <w:b/>
          <w:bCs/>
          <w:sz w:val="24"/>
          <w:u w:val="none"/>
        </w:rPr>
        <w:t xml:space="preserve"> </w:t>
      </w:r>
      <w:r w:rsidR="000172F0">
        <w:rPr>
          <w:rFonts w:ascii="Trebuchet MS" w:hAnsi="Trebuchet MS" w:cs="Arial"/>
          <w:b/>
          <w:bCs/>
          <w:sz w:val="24"/>
          <w:u w:val="none"/>
        </w:rPr>
        <w:t>(Internal and External</w:t>
      </w:r>
      <w:r w:rsidR="003F16E1">
        <w:rPr>
          <w:rFonts w:ascii="Trebuchet MS" w:hAnsi="Trebuchet MS" w:cs="Arial"/>
          <w:b/>
          <w:bCs/>
          <w:sz w:val="24"/>
          <w:u w:val="none"/>
        </w:rPr>
        <w:t>)</w:t>
      </w:r>
      <w:r>
        <w:rPr>
          <w:rFonts w:ascii="Trebuchet MS" w:hAnsi="Trebuchet MS" w:cs="Arial"/>
          <w:b/>
          <w:bCs/>
          <w:sz w:val="24"/>
          <w:u w:val="none"/>
        </w:rPr>
        <w:tab/>
      </w:r>
    </w:p>
    <w:p w:rsidR="00AB1A8B" w:rsidRDefault="004B776D" w:rsidP="00285D77">
      <w:pPr>
        <w:pStyle w:val="Subtitle"/>
        <w:numPr>
          <w:ilvl w:val="0"/>
          <w:numId w:val="2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Being an ambassador for Lovell at all times.</w:t>
      </w:r>
    </w:p>
    <w:p w:rsidR="00285D77" w:rsidRPr="004B776D" w:rsidRDefault="00285D77" w:rsidP="00285D77">
      <w:pPr>
        <w:pStyle w:val="Subtitle"/>
        <w:spacing w:before="120"/>
        <w:ind w:left="360"/>
        <w:jc w:val="both"/>
        <w:rPr>
          <w:rFonts w:ascii="Trebuchet MS" w:hAnsi="Trebuchet MS" w:cs="Arial"/>
          <w:bCs/>
          <w:sz w:val="24"/>
          <w:u w:val="none"/>
        </w:rPr>
      </w:pP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:rsidR="003F16E1" w:rsidRDefault="00080C58" w:rsidP="00285D77">
      <w:pPr>
        <w:pStyle w:val="Subtitle"/>
        <w:numPr>
          <w:ilvl w:val="0"/>
          <w:numId w:val="2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 w:rsidRPr="00400699">
        <w:rPr>
          <w:rFonts w:ascii="Trebuchet MS" w:hAnsi="Trebuchet MS" w:cs="Arial"/>
          <w:bCs/>
          <w:sz w:val="24"/>
          <w:u w:val="none"/>
        </w:rPr>
        <w:t xml:space="preserve">Monitor the quality of work to ensure </w:t>
      </w:r>
      <w:r w:rsidR="004B776D">
        <w:rPr>
          <w:rFonts w:ascii="Trebuchet MS" w:hAnsi="Trebuchet MS" w:cs="Arial"/>
          <w:bCs/>
          <w:sz w:val="24"/>
          <w:u w:val="none"/>
        </w:rPr>
        <w:t>compliance with Company quality standards.</w:t>
      </w:r>
    </w:p>
    <w:p w:rsidR="004B776D" w:rsidRDefault="004B776D" w:rsidP="00285D77">
      <w:pPr>
        <w:pStyle w:val="Subtitle"/>
        <w:numPr>
          <w:ilvl w:val="0"/>
          <w:numId w:val="2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Ensure sales arena is kept tidy and presented in a clean and tidy manner.</w:t>
      </w:r>
    </w:p>
    <w:p w:rsidR="003F16E1" w:rsidRPr="004B776D" w:rsidRDefault="004B776D" w:rsidP="00285D77">
      <w:pPr>
        <w:pStyle w:val="Subtitle"/>
        <w:numPr>
          <w:ilvl w:val="0"/>
          <w:numId w:val="2"/>
        </w:numPr>
        <w:spacing w:before="120"/>
        <w:jc w:val="both"/>
        <w:rPr>
          <w:rFonts w:ascii="Trebuchet MS" w:hAnsi="Trebuchet MS" w:cs="Arial"/>
          <w:bCs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Maintaining a safe working environment.</w:t>
      </w:r>
    </w:p>
    <w:p w:rsidR="003F16E1" w:rsidRPr="0082218C" w:rsidRDefault="003F16E1" w:rsidP="003F16E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People</w:t>
      </w:r>
    </w:p>
    <w:p w:rsidR="003F16E1" w:rsidRPr="0082218C" w:rsidRDefault="003F16E1" w:rsidP="003F16E1">
      <w:pPr>
        <w:pStyle w:val="Subtitle"/>
        <w:jc w:val="both"/>
        <w:rPr>
          <w:rFonts w:ascii="Trebuchet MS" w:hAnsi="Trebuchet MS" w:cs="Arial"/>
          <w:sz w:val="24"/>
          <w:u w:val="none"/>
        </w:rPr>
      </w:pPr>
      <w:r w:rsidRPr="0082218C">
        <w:rPr>
          <w:rFonts w:ascii="Trebuchet MS" w:hAnsi="Trebuchet MS" w:cs="Arial"/>
          <w:sz w:val="24"/>
          <w:u w:val="none"/>
        </w:rPr>
        <w:tab/>
      </w:r>
    </w:p>
    <w:p w:rsidR="004B776D" w:rsidRDefault="004B776D" w:rsidP="004B776D">
      <w:pPr>
        <w:rPr>
          <w:b/>
        </w:rPr>
      </w:pPr>
      <w:r>
        <w:rPr>
          <w:b/>
        </w:rPr>
        <w:t>Comply with Lovell Policy and Employment Legislations, relating to;</w:t>
      </w:r>
    </w:p>
    <w:p w:rsidR="004B776D" w:rsidRDefault="004B776D" w:rsidP="00285D77">
      <w:pPr>
        <w:numPr>
          <w:ilvl w:val="0"/>
          <w:numId w:val="3"/>
        </w:numPr>
      </w:pPr>
      <w:r>
        <w:t>Health, Safety and Welfare</w:t>
      </w:r>
    </w:p>
    <w:p w:rsidR="004B776D" w:rsidRDefault="004B776D" w:rsidP="004B776D">
      <w:pPr>
        <w:pStyle w:val="Subtitle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ab/>
      </w:r>
    </w:p>
    <w:p w:rsidR="004B776D" w:rsidRDefault="004B776D" w:rsidP="004B776D">
      <w:pPr>
        <w:spacing w:after="120"/>
        <w:rPr>
          <w:b/>
          <w:color w:val="000000"/>
        </w:rPr>
      </w:pPr>
      <w:r>
        <w:rPr>
          <w:b/>
          <w:color w:val="000000"/>
        </w:rPr>
        <w:t>Regularly Communicate</w:t>
      </w:r>
    </w:p>
    <w:p w:rsidR="004B776D" w:rsidRDefault="004B776D" w:rsidP="00285D77">
      <w:pPr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lastRenderedPageBreak/>
        <w:t>Carry out daily / weekly / monthly communication with site managers and their teams</w:t>
      </w: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Technical Skills and Knowledge</w:t>
      </w:r>
    </w:p>
    <w:p w:rsidR="00B253A1" w:rsidRDefault="00B253A1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Style w:val="TableGrid"/>
        <w:tblW w:w="0" w:type="auto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683"/>
        <w:gridCol w:w="1565"/>
      </w:tblGrid>
      <w:tr w:rsidR="00133328" w:rsidRPr="0082218C" w:rsidTr="003F16E1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82218C" w:rsidRDefault="00133328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82218C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82218C">
              <w:rPr>
                <w:rFonts w:ascii="Trebuchet MS" w:hAnsi="Trebuchet MS" w:cs="Arial"/>
                <w:b/>
                <w:sz w:val="24"/>
                <w:u w:val="none"/>
              </w:rPr>
              <w:t>Basic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82218C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82218C">
              <w:rPr>
                <w:rFonts w:ascii="Trebuchet MS" w:hAnsi="Trebuchet MS" w:cs="Arial"/>
                <w:b/>
                <w:sz w:val="24"/>
                <w:u w:val="none"/>
              </w:rPr>
              <w:t>Intermediate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82218C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82218C">
              <w:rPr>
                <w:rFonts w:ascii="Trebuchet MS" w:hAnsi="Trebuchet MS" w:cs="Arial"/>
                <w:b/>
                <w:sz w:val="24"/>
                <w:u w:val="none"/>
              </w:rPr>
              <w:t>Advanced</w:t>
            </w:r>
          </w:p>
        </w:tc>
      </w:tr>
      <w:tr w:rsidR="00CC2BDB" w:rsidRPr="0082218C" w:rsidTr="003F16E1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CC2BDB" w:rsidRPr="00400699" w:rsidRDefault="00CC2BDB" w:rsidP="00722C3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00699">
              <w:rPr>
                <w:rFonts w:ascii="Trebuchet MS" w:hAnsi="Trebuchet MS" w:cs="Arial"/>
                <w:sz w:val="24"/>
                <w:u w:val="none"/>
              </w:rPr>
              <w:t>Knowledge of NHBC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CC2BDB" w:rsidRPr="0082218C" w:rsidTr="003F16E1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CC2BDB" w:rsidRPr="00400699" w:rsidRDefault="00CC2BDB" w:rsidP="00722C3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00699">
              <w:rPr>
                <w:rFonts w:ascii="Trebuchet MS" w:hAnsi="Trebuchet MS" w:cs="Arial"/>
                <w:sz w:val="24"/>
                <w:u w:val="none"/>
              </w:rPr>
              <w:t>Knowledge of Building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CC2BDB" w:rsidRPr="0082218C" w:rsidRDefault="00CC2BDB" w:rsidP="006F71CB">
            <w:pPr>
              <w:pStyle w:val="Subtitle"/>
              <w:spacing w:before="40" w:after="40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CC2BDB" w:rsidRPr="0082218C" w:rsidTr="003F16E1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CC2BDB" w:rsidRPr="00400699" w:rsidRDefault="00CC2BDB" w:rsidP="00722C3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00699">
              <w:rPr>
                <w:rFonts w:ascii="Trebuchet MS" w:hAnsi="Trebuchet MS" w:cs="Arial"/>
                <w:sz w:val="24"/>
                <w:u w:val="none"/>
              </w:rPr>
              <w:t>Knowledge of good trade practice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CC2BDB" w:rsidRPr="0082218C" w:rsidTr="003F16E1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CC2BDB" w:rsidRPr="00400699" w:rsidRDefault="00CC2BDB" w:rsidP="00722C3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00699">
              <w:rPr>
                <w:rFonts w:ascii="Trebuchet MS" w:hAnsi="Trebuchet MS" w:cs="Arial"/>
                <w:sz w:val="24"/>
                <w:u w:val="none"/>
              </w:rPr>
              <w:t>Understanding of quality standards</w:t>
            </w:r>
          </w:p>
        </w:tc>
        <w:tc>
          <w:tcPr>
            <w:tcW w:w="1496" w:type="dxa"/>
            <w:shd w:val="clear" w:color="auto" w:fill="CCFFCC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CC2BDB" w:rsidRPr="0082218C" w:rsidTr="003F16E1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CC2BDB" w:rsidRPr="00400699" w:rsidRDefault="00CC2BDB" w:rsidP="00722C3F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  <w:r w:rsidRPr="00400699">
              <w:rPr>
                <w:rFonts w:ascii="Trebuchet MS" w:hAnsi="Trebuchet MS" w:cs="Arial"/>
                <w:sz w:val="24"/>
                <w:u w:val="none"/>
              </w:rPr>
              <w:t>Knowledge of Health and Safety Regulations</w:t>
            </w:r>
          </w:p>
        </w:tc>
        <w:tc>
          <w:tcPr>
            <w:tcW w:w="1496" w:type="dxa"/>
            <w:shd w:val="clear" w:color="auto" w:fill="CCFFCC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auto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CC2BDB" w:rsidRPr="0082218C" w:rsidRDefault="00CC2BDB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</w:tbl>
    <w:p w:rsidR="00BA4897" w:rsidRDefault="00BA4897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F1E4B" w:rsidRDefault="00CF1E4B" w:rsidP="00CF1E4B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29"/>
      </w:tblGrid>
      <w:tr w:rsidR="003F16E1" w:rsidTr="003F16E1">
        <w:tc>
          <w:tcPr>
            <w:tcW w:w="9855" w:type="dxa"/>
          </w:tcPr>
          <w:p w:rsidR="003F16E1" w:rsidRDefault="003F16E1" w:rsidP="003F16E1">
            <w:pPr>
              <w:jc w:val="center"/>
              <w:rPr>
                <w:b/>
              </w:rPr>
            </w:pPr>
            <w:r>
              <w:rPr>
                <w:b/>
              </w:rPr>
              <w:t>Training Matrix</w:t>
            </w:r>
          </w:p>
        </w:tc>
      </w:tr>
    </w:tbl>
    <w:p w:rsidR="00CF1E4B" w:rsidRDefault="00CF1E4B" w:rsidP="00CF1E4B">
      <w:pPr>
        <w:rPr>
          <w:b/>
        </w:rPr>
      </w:pPr>
    </w:p>
    <w:p w:rsidR="007973E6" w:rsidRPr="009B33BE" w:rsidRDefault="007973E6" w:rsidP="007973E6">
      <w:r>
        <w:t>A</w:t>
      </w:r>
      <w:r w:rsidRPr="009B33BE">
        <w:t xml:space="preserve"> training matrix</w:t>
      </w:r>
      <w:r>
        <w:t xml:space="preserve"> for this role</w:t>
      </w:r>
      <w:r w:rsidRPr="009B33BE">
        <w:t xml:space="preserve">, which includes all the </w:t>
      </w:r>
      <w:r>
        <w:t>compulsory</w:t>
      </w:r>
      <w:r w:rsidRPr="009B33BE">
        <w:t xml:space="preserve"> training which is </w:t>
      </w:r>
      <w:r>
        <w:t>required</w:t>
      </w:r>
      <w:r w:rsidRPr="009B33BE">
        <w:t>, is published on the</w:t>
      </w:r>
      <w:r w:rsidR="005A4030">
        <w:t xml:space="preserve"> People Development site in INSITE</w:t>
      </w:r>
      <w:r w:rsidRPr="009B33BE">
        <w:t>.  Full course descriptions explaining the content of these cou</w:t>
      </w:r>
      <w:r w:rsidR="005A4030">
        <w:t>rses are also available on INSITE</w:t>
      </w:r>
      <w:r w:rsidRPr="009B33BE">
        <w:t>.</w:t>
      </w:r>
    </w:p>
    <w:p w:rsidR="007973E6" w:rsidRDefault="007973E6"/>
    <w:sectPr w:rsidR="007973E6" w:rsidSect="007973E6">
      <w:footerReference w:type="default" r:id="rId7"/>
      <w:type w:val="continuous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10" w:rsidRDefault="00C80A10" w:rsidP="003326C8">
      <w:pPr>
        <w:pStyle w:val="Footer"/>
      </w:pPr>
      <w:r>
        <w:separator/>
      </w:r>
    </w:p>
  </w:endnote>
  <w:endnote w:type="continuationSeparator" w:id="0">
    <w:p w:rsidR="00C80A10" w:rsidRDefault="00C80A10" w:rsidP="003326C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2" w:rsidRPr="00C04E08" w:rsidRDefault="00B13362" w:rsidP="00C04E08">
    <w:pPr>
      <w:pBdr>
        <w:top w:val="single" w:sz="4" w:space="1" w:color="CC0000"/>
      </w:pBdr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4"/>
      <w:gridCol w:w="3188"/>
      <w:gridCol w:w="3227"/>
    </w:tblGrid>
    <w:tr w:rsidR="00B13362" w:rsidTr="00C04E08">
      <w:tc>
        <w:tcPr>
          <w:tcW w:w="3285" w:type="dxa"/>
          <w:vAlign w:val="center"/>
        </w:tcPr>
        <w:p w:rsidR="00B13362" w:rsidRPr="00C04E08" w:rsidRDefault="0069638F" w:rsidP="00C04E08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B13362" w:rsidRPr="00C04E08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85" w:type="dxa"/>
          <w:vAlign w:val="center"/>
        </w:tcPr>
        <w:p w:rsidR="00B13362" w:rsidRPr="00C04E08" w:rsidRDefault="00B13362" w:rsidP="005A4030">
          <w:pPr>
            <w:pStyle w:val="Footer"/>
            <w:jc w:val="center"/>
            <w:rPr>
              <w:sz w:val="20"/>
              <w:szCs w:val="20"/>
            </w:rPr>
          </w:pPr>
          <w:r w:rsidRPr="00C04E08">
            <w:rPr>
              <w:sz w:val="20"/>
              <w:szCs w:val="20"/>
            </w:rPr>
            <w:t xml:space="preserve">Revised </w:t>
          </w:r>
          <w:r w:rsidR="004519AF">
            <w:rPr>
              <w:sz w:val="20"/>
              <w:szCs w:val="20"/>
            </w:rPr>
            <w:t>March 2019</w:t>
          </w:r>
        </w:p>
      </w:tc>
      <w:tc>
        <w:tcPr>
          <w:tcW w:w="3285" w:type="dxa"/>
          <w:vAlign w:val="center"/>
        </w:tcPr>
        <w:p w:rsidR="00B13362" w:rsidRPr="00C04E08" w:rsidRDefault="005A4030" w:rsidP="00C04E08">
          <w:pPr>
            <w:pStyle w:val="Footer"/>
            <w:jc w:val="right"/>
            <w:rPr>
              <w:sz w:val="20"/>
              <w:szCs w:val="20"/>
            </w:rPr>
          </w:pPr>
          <w:r w:rsidRPr="00543BB7">
            <w:rPr>
              <w:noProof/>
            </w:rPr>
            <w:drawing>
              <wp:inline distT="0" distB="0" distL="0" distR="0">
                <wp:extent cx="1047750" cy="238125"/>
                <wp:effectExtent l="0" t="0" r="0" b="9525"/>
                <wp:docPr id="1" name="Picture 3" descr="lovell 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vell 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362" w:rsidRDefault="00B13362" w:rsidP="00C04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10" w:rsidRDefault="00C80A10" w:rsidP="003326C8">
      <w:pPr>
        <w:pStyle w:val="Footer"/>
      </w:pPr>
      <w:r>
        <w:separator/>
      </w:r>
    </w:p>
  </w:footnote>
  <w:footnote w:type="continuationSeparator" w:id="0">
    <w:p w:rsidR="00C80A10" w:rsidRDefault="00C80A10" w:rsidP="003326C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4245D"/>
    <w:multiLevelType w:val="hybridMultilevel"/>
    <w:tmpl w:val="6F825DA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139D4"/>
    <w:multiLevelType w:val="hybridMultilevel"/>
    <w:tmpl w:val="7DF836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9378F1"/>
    <w:multiLevelType w:val="hybridMultilevel"/>
    <w:tmpl w:val="D4C876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8"/>
    <w:rsid w:val="000172F0"/>
    <w:rsid w:val="000252FA"/>
    <w:rsid w:val="000447B4"/>
    <w:rsid w:val="00047EA0"/>
    <w:rsid w:val="00065DF7"/>
    <w:rsid w:val="00080C58"/>
    <w:rsid w:val="000A0D96"/>
    <w:rsid w:val="000C21F3"/>
    <w:rsid w:val="000D5616"/>
    <w:rsid w:val="000F11AD"/>
    <w:rsid w:val="00100F5A"/>
    <w:rsid w:val="00103972"/>
    <w:rsid w:val="00131DCA"/>
    <w:rsid w:val="00133328"/>
    <w:rsid w:val="00145D64"/>
    <w:rsid w:val="00151D4F"/>
    <w:rsid w:val="00187A64"/>
    <w:rsid w:val="0019465A"/>
    <w:rsid w:val="001C30B5"/>
    <w:rsid w:val="00211078"/>
    <w:rsid w:val="00222A60"/>
    <w:rsid w:val="002773D8"/>
    <w:rsid w:val="00285D77"/>
    <w:rsid w:val="0029795A"/>
    <w:rsid w:val="002C0529"/>
    <w:rsid w:val="002C6C16"/>
    <w:rsid w:val="002E7A38"/>
    <w:rsid w:val="00321359"/>
    <w:rsid w:val="0033200A"/>
    <w:rsid w:val="003326C8"/>
    <w:rsid w:val="003669D6"/>
    <w:rsid w:val="003F16E1"/>
    <w:rsid w:val="003F27D0"/>
    <w:rsid w:val="00450355"/>
    <w:rsid w:val="004519AF"/>
    <w:rsid w:val="004B776D"/>
    <w:rsid w:val="004F7016"/>
    <w:rsid w:val="00541516"/>
    <w:rsid w:val="0057661D"/>
    <w:rsid w:val="005958BD"/>
    <w:rsid w:val="005A4030"/>
    <w:rsid w:val="005D6979"/>
    <w:rsid w:val="00602F94"/>
    <w:rsid w:val="006520A8"/>
    <w:rsid w:val="00654A7A"/>
    <w:rsid w:val="00666489"/>
    <w:rsid w:val="0069638F"/>
    <w:rsid w:val="006D0B9C"/>
    <w:rsid w:val="006F5627"/>
    <w:rsid w:val="006F71CB"/>
    <w:rsid w:val="00703E81"/>
    <w:rsid w:val="00722C3F"/>
    <w:rsid w:val="0077471F"/>
    <w:rsid w:val="00792D71"/>
    <w:rsid w:val="00796302"/>
    <w:rsid w:val="007973E6"/>
    <w:rsid w:val="007B1157"/>
    <w:rsid w:val="007C017E"/>
    <w:rsid w:val="00806B4A"/>
    <w:rsid w:val="00837EEC"/>
    <w:rsid w:val="0084127B"/>
    <w:rsid w:val="00861317"/>
    <w:rsid w:val="008E44A8"/>
    <w:rsid w:val="00906F95"/>
    <w:rsid w:val="00926745"/>
    <w:rsid w:val="00952541"/>
    <w:rsid w:val="00973F81"/>
    <w:rsid w:val="009C181A"/>
    <w:rsid w:val="009C1822"/>
    <w:rsid w:val="00A25AA3"/>
    <w:rsid w:val="00A570FA"/>
    <w:rsid w:val="00A611CC"/>
    <w:rsid w:val="00A75865"/>
    <w:rsid w:val="00AA23E2"/>
    <w:rsid w:val="00AB187D"/>
    <w:rsid w:val="00AB1A8B"/>
    <w:rsid w:val="00AD1FC6"/>
    <w:rsid w:val="00B13362"/>
    <w:rsid w:val="00B253A1"/>
    <w:rsid w:val="00B452E6"/>
    <w:rsid w:val="00B80EE2"/>
    <w:rsid w:val="00BA4897"/>
    <w:rsid w:val="00C04E08"/>
    <w:rsid w:val="00C065B5"/>
    <w:rsid w:val="00C80A10"/>
    <w:rsid w:val="00C90D65"/>
    <w:rsid w:val="00CA3E05"/>
    <w:rsid w:val="00CB082C"/>
    <w:rsid w:val="00CC2BDB"/>
    <w:rsid w:val="00CF1E4B"/>
    <w:rsid w:val="00D11F8B"/>
    <w:rsid w:val="00D86DB1"/>
    <w:rsid w:val="00D96CF7"/>
    <w:rsid w:val="00DD3E6E"/>
    <w:rsid w:val="00E15961"/>
    <w:rsid w:val="00E163E1"/>
    <w:rsid w:val="00E23C9A"/>
    <w:rsid w:val="00E5249F"/>
    <w:rsid w:val="00F07013"/>
    <w:rsid w:val="00F32E89"/>
    <w:rsid w:val="00F36573"/>
    <w:rsid w:val="00F43CD7"/>
    <w:rsid w:val="00F61CA9"/>
    <w:rsid w:val="00F70784"/>
    <w:rsid w:val="00F91E08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740E9-829C-4BF8-8E68-2FA7C5C3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E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04E0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A0D96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F36573"/>
    <w:rPr>
      <w:rFonts w:ascii="Arial" w:hAnsi="Arial"/>
      <w:sz w:val="3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285D77"/>
    <w:pPr>
      <w:ind w:left="720"/>
    </w:pPr>
    <w:rPr>
      <w:rFonts w:ascii="Calibri" w:eastAsiaTheme="minorHAnsi" w:hAnsi="Calibri" w:cs="Times New Roman"/>
      <w:bCs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 021</vt:lpstr>
    </vt:vector>
  </TitlesOfParts>
  <Company>Lovell Partnerships</Company>
  <LinksUpToDate>false</LinksUpToDate>
  <CharactersWithSpaces>2020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 021</dc:title>
  <dc:subject/>
  <dc:creator>Bruce Boughton</dc:creator>
  <cp:keywords/>
  <dc:description/>
  <cp:lastModifiedBy>CHUCHLA, Monika (LPNORTH)</cp:lastModifiedBy>
  <cp:revision>9</cp:revision>
  <cp:lastPrinted>2009-04-03T14:43:00Z</cp:lastPrinted>
  <dcterms:created xsi:type="dcterms:W3CDTF">2019-03-15T10:58:00Z</dcterms:created>
  <dcterms:modified xsi:type="dcterms:W3CDTF">2019-03-15T11:59:00Z</dcterms:modified>
</cp:coreProperties>
</file>