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3E300A" w:rsidP="00514543">
      <w:pPr>
        <w:pStyle w:val="Heading2"/>
        <w:spacing w:before="120" w:after="120"/>
        <w:rPr>
          <w:rFonts w:ascii="Arial" w:hAnsi="Arial" w:cs="Arial"/>
          <w:color w:val="00B0F0"/>
        </w:rPr>
      </w:pPr>
      <w:r>
        <w:rPr>
          <w:rFonts w:ascii="Arial" w:hAnsi="Arial" w:cs="Arial"/>
          <w:color w:val="00B0F0"/>
        </w:rPr>
        <w:t>Environmental Manager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Manager – 3</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FB5B32" w:rsidRDefault="00FB5B32" w:rsidP="00FB5B32">
            <w:pPr>
              <w:rPr>
                <w:rFonts w:ascii="Arial" w:hAnsi="Arial" w:cs="Arial"/>
              </w:rPr>
            </w:pPr>
            <w:r>
              <w:rPr>
                <w:rFonts w:ascii="Arial" w:hAnsi="Arial" w:cs="Arial"/>
              </w:rPr>
              <w:t>A technical or functional role expected to deliver closely defined tasks within company procedures and industry standards. The person will receive clear guidance.</w:t>
            </w:r>
          </w:p>
          <w:p w:rsidR="00FB5B32" w:rsidRDefault="00FB5B32" w:rsidP="00FB5B32">
            <w:pPr>
              <w:rPr>
                <w:rFonts w:ascii="Arial" w:hAnsi="Arial" w:cs="Arial"/>
              </w:rPr>
            </w:pPr>
          </w:p>
          <w:p w:rsidR="00FB5B32" w:rsidRDefault="00FB5B32" w:rsidP="00FB5B32">
            <w:pPr>
              <w:rPr>
                <w:rFonts w:ascii="Arial" w:hAnsi="Arial" w:cs="Arial"/>
              </w:rPr>
            </w:pPr>
            <w:r>
              <w:rPr>
                <w:rFonts w:ascii="Arial" w:hAnsi="Arial" w:cs="Arial"/>
              </w:rPr>
              <w:t>In operations they will supervise teams of trades or provide engineering and construction functions. They will provide technical services (engineering, construction) on a site or project.</w:t>
            </w:r>
          </w:p>
          <w:p w:rsidR="00FB5B32" w:rsidRDefault="00FB5B32" w:rsidP="00FB5B32">
            <w:pPr>
              <w:rPr>
                <w:rFonts w:ascii="Arial" w:hAnsi="Arial" w:cs="Arial"/>
              </w:rPr>
            </w:pPr>
          </w:p>
          <w:p w:rsidR="00FB5B32" w:rsidRPr="00F354EF" w:rsidRDefault="00FB5B32" w:rsidP="00FB5B32">
            <w:pPr>
              <w:rPr>
                <w:rFonts w:ascii="Arial" w:hAnsi="Arial" w:cs="Arial"/>
              </w:rPr>
            </w:pPr>
            <w:r>
              <w:rPr>
                <w:rFonts w:ascii="Arial" w:hAnsi="Arial" w:cs="Arial"/>
              </w:rPr>
              <w:t>In commercial they will work in a team of estimators, surveyors or designers. They may supervise small groups working on a specific task.</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rsidR="00FB5B32" w:rsidRDefault="00FB5B32" w:rsidP="002F7242">
            <w:pPr>
              <w:rPr>
                <w:rFonts w:ascii="Arial" w:hAnsi="Arial" w:cs="Arial"/>
              </w:rPr>
            </w:pPr>
            <w:r>
              <w:rPr>
                <w:rFonts w:ascii="Arial" w:hAnsi="Arial" w:cs="Arial"/>
              </w:rPr>
              <w:t>Sets clear and appropriate goals that consider the bigger picture</w:t>
            </w:r>
          </w:p>
          <w:p w:rsidR="00FB5B32" w:rsidRDefault="00FB5B32" w:rsidP="002F7242">
            <w:pPr>
              <w:rPr>
                <w:rFonts w:ascii="Arial" w:hAnsi="Arial" w:cs="Arial"/>
              </w:rPr>
            </w:pPr>
            <w:r>
              <w:rPr>
                <w:rFonts w:ascii="Arial" w:hAnsi="Arial" w:cs="Arial"/>
              </w:rPr>
              <w:t>Drives well to achieve consistent results</w:t>
            </w:r>
          </w:p>
          <w:p w:rsidR="00727FCF" w:rsidRPr="00F354EF" w:rsidRDefault="00FB5B32" w:rsidP="002F7242">
            <w:pPr>
              <w:rPr>
                <w:rFonts w:ascii="Arial" w:hAnsi="Arial" w:cs="Arial"/>
              </w:rPr>
            </w:pPr>
            <w:r>
              <w:rPr>
                <w:rFonts w:ascii="Arial" w:hAnsi="Arial" w:cs="Arial"/>
              </w:rPr>
              <w:t>Deliver a quality performance consistently</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rsidR="00FB5B32" w:rsidRDefault="00FB5B32" w:rsidP="00FB5B32">
            <w:pPr>
              <w:rPr>
                <w:rFonts w:ascii="Arial" w:hAnsi="Arial" w:cs="Arial"/>
              </w:rPr>
            </w:pPr>
            <w:r>
              <w:rPr>
                <w:rFonts w:ascii="Arial" w:hAnsi="Arial" w:cs="Arial"/>
              </w:rPr>
              <w:t>Rational and systematic analysis of situation to enable decisions on more varied issues</w:t>
            </w:r>
          </w:p>
          <w:p w:rsidR="00C53A82" w:rsidRPr="00F354EF" w:rsidRDefault="00FB5B32" w:rsidP="002F7242">
            <w:pPr>
              <w:rPr>
                <w:rFonts w:ascii="Arial" w:hAnsi="Arial" w:cs="Arial"/>
              </w:rPr>
            </w:pPr>
            <w:r>
              <w:rPr>
                <w:rFonts w:ascii="Arial" w:hAnsi="Arial" w:cs="Arial"/>
              </w:rPr>
              <w:t xml:space="preserve">Questioning the evidence to evaluate issues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rsidR="00FB5B32" w:rsidRDefault="00FB5B32" w:rsidP="002F7242">
            <w:pPr>
              <w:rPr>
                <w:rFonts w:ascii="Arial" w:hAnsi="Arial" w:cs="Arial"/>
              </w:rPr>
            </w:pPr>
            <w:r>
              <w:rPr>
                <w:rFonts w:ascii="Arial" w:hAnsi="Arial" w:cs="Arial"/>
              </w:rPr>
              <w:t>Ability to choose most appropriate style of communication</w:t>
            </w:r>
          </w:p>
          <w:p w:rsidR="00FB5B32" w:rsidRDefault="00FB5B32" w:rsidP="002F7242">
            <w:pPr>
              <w:rPr>
                <w:rFonts w:ascii="Arial" w:hAnsi="Arial" w:cs="Arial"/>
              </w:rPr>
            </w:pPr>
            <w:r>
              <w:rPr>
                <w:rFonts w:ascii="Arial" w:hAnsi="Arial" w:cs="Arial"/>
              </w:rPr>
              <w:t>Able to listen actively by which we mean hearing and interpreting what is said</w:t>
            </w:r>
          </w:p>
          <w:p w:rsidR="00C53A82" w:rsidRPr="00F354EF" w:rsidRDefault="00FB5B32" w:rsidP="002F7242">
            <w:pPr>
              <w:rPr>
                <w:rFonts w:ascii="Arial" w:hAnsi="Arial" w:cs="Arial"/>
              </w:rPr>
            </w:pPr>
            <w:r>
              <w:rPr>
                <w:rFonts w:ascii="Arial" w:hAnsi="Arial" w:cs="Arial"/>
              </w:rPr>
              <w:t>Demonstrating sound questioning techniques</w:t>
            </w:r>
            <w:r w:rsidR="00C53A82">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rsidR="00346EDD" w:rsidRDefault="00346EDD" w:rsidP="002F7242">
            <w:pPr>
              <w:rPr>
                <w:rFonts w:ascii="Arial" w:hAnsi="Arial" w:cs="Arial"/>
              </w:rPr>
            </w:pPr>
            <w:r>
              <w:rPr>
                <w:rFonts w:ascii="Arial" w:hAnsi="Arial" w:cs="Arial"/>
              </w:rPr>
              <w:t>Sees a potential of new ideas and situations</w:t>
            </w:r>
          </w:p>
          <w:p w:rsidR="00346EDD" w:rsidRDefault="00346EDD" w:rsidP="002F7242">
            <w:pPr>
              <w:rPr>
                <w:rFonts w:ascii="Arial" w:hAnsi="Arial" w:cs="Arial"/>
              </w:rPr>
            </w:pPr>
            <w:r>
              <w:rPr>
                <w:rFonts w:ascii="Arial" w:hAnsi="Arial" w:cs="Arial"/>
              </w:rPr>
              <w:t>Takes a pragmatic approach to change</w:t>
            </w:r>
          </w:p>
          <w:p w:rsidR="00346EDD" w:rsidRDefault="00346EDD" w:rsidP="002F7242">
            <w:pPr>
              <w:rPr>
                <w:rFonts w:ascii="Arial" w:hAnsi="Arial" w:cs="Arial"/>
              </w:rPr>
            </w:pPr>
            <w:r>
              <w:rPr>
                <w:rFonts w:ascii="Arial" w:hAnsi="Arial" w:cs="Arial"/>
              </w:rPr>
              <w:t>Considers impact of change on others as well as self</w:t>
            </w:r>
          </w:p>
          <w:p w:rsidR="00727FCF" w:rsidRPr="00F354EF" w:rsidRDefault="00346EDD" w:rsidP="002F7242">
            <w:pPr>
              <w:rPr>
                <w:rFonts w:ascii="Arial" w:hAnsi="Arial" w:cs="Arial"/>
              </w:rPr>
            </w:pPr>
            <w:r>
              <w:rPr>
                <w:rFonts w:ascii="Arial" w:hAnsi="Arial" w:cs="Arial"/>
              </w:rPr>
              <w:t xml:space="preserve">Ability to explain the effects to colleagues </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Teamwork</w:t>
            </w:r>
          </w:p>
        </w:tc>
        <w:tc>
          <w:tcPr>
            <w:tcW w:w="3643" w:type="pct"/>
            <w:shd w:val="clear" w:color="auto" w:fill="auto"/>
          </w:tcPr>
          <w:p w:rsidR="00946A0D" w:rsidRDefault="00346EDD" w:rsidP="002F7242">
            <w:pPr>
              <w:rPr>
                <w:rFonts w:ascii="Arial" w:hAnsi="Arial" w:cs="Arial"/>
              </w:rPr>
            </w:pPr>
            <w:r>
              <w:rPr>
                <w:rFonts w:ascii="Arial" w:hAnsi="Arial" w:cs="Arial"/>
              </w:rPr>
              <w:t>Develop inter-company collaboration inside and outside company</w:t>
            </w:r>
          </w:p>
          <w:p w:rsidR="00346EDD" w:rsidRDefault="00346EDD" w:rsidP="002F7242">
            <w:pPr>
              <w:rPr>
                <w:rFonts w:ascii="Arial" w:hAnsi="Arial" w:cs="Arial"/>
              </w:rPr>
            </w:pPr>
            <w:r>
              <w:rPr>
                <w:rFonts w:ascii="Arial" w:hAnsi="Arial" w:cs="Arial"/>
              </w:rPr>
              <w:t>Understand the role of a team and how it delivers the objectives</w:t>
            </w:r>
          </w:p>
          <w:p w:rsidR="00346EDD" w:rsidRDefault="00346EDD" w:rsidP="002F7242">
            <w:pPr>
              <w:rPr>
                <w:rFonts w:ascii="Arial" w:hAnsi="Arial" w:cs="Arial"/>
              </w:rPr>
            </w:pPr>
            <w:r>
              <w:rPr>
                <w:rFonts w:ascii="Arial" w:hAnsi="Arial" w:cs="Arial"/>
              </w:rPr>
              <w:t>Can adapt to different types of teams in most situations</w:t>
            </w:r>
          </w:p>
          <w:p w:rsidR="00346EDD" w:rsidRDefault="00346EDD" w:rsidP="002F7242">
            <w:pPr>
              <w:rPr>
                <w:rFonts w:ascii="Arial" w:hAnsi="Arial" w:cs="Arial"/>
              </w:rPr>
            </w:pPr>
            <w:r>
              <w:rPr>
                <w:rFonts w:ascii="Arial" w:hAnsi="Arial" w:cs="Arial"/>
              </w:rPr>
              <w:t>Take a cohesive and encouraging approach to team working</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Leadership</w:t>
            </w:r>
          </w:p>
        </w:tc>
        <w:tc>
          <w:tcPr>
            <w:tcW w:w="3643" w:type="pct"/>
            <w:shd w:val="clear" w:color="auto" w:fill="auto"/>
          </w:tcPr>
          <w:p w:rsidR="00727FCF" w:rsidRDefault="00346EDD" w:rsidP="002F7242">
            <w:pPr>
              <w:rPr>
                <w:rFonts w:ascii="Arial" w:hAnsi="Arial" w:cs="Arial"/>
              </w:rPr>
            </w:pPr>
            <w:r>
              <w:rPr>
                <w:rFonts w:ascii="Arial" w:hAnsi="Arial" w:cs="Arial"/>
              </w:rPr>
              <w:t>Ability to take control of situations with one’s sphere of influence</w:t>
            </w:r>
          </w:p>
          <w:p w:rsidR="00346EDD" w:rsidRDefault="00346EDD" w:rsidP="002F7242">
            <w:pPr>
              <w:rPr>
                <w:rFonts w:ascii="Arial" w:hAnsi="Arial" w:cs="Arial"/>
              </w:rPr>
            </w:pPr>
            <w:r>
              <w:rPr>
                <w:rFonts w:ascii="Arial" w:hAnsi="Arial" w:cs="Arial"/>
              </w:rPr>
              <w:t>Assume responsibility – organising and guiding where necessary</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rsidR="00346EDD" w:rsidRDefault="00346EDD" w:rsidP="002F7242">
            <w:pPr>
              <w:rPr>
                <w:rFonts w:ascii="Arial" w:hAnsi="Arial" w:cs="Arial"/>
              </w:rPr>
            </w:pPr>
            <w:r>
              <w:rPr>
                <w:rFonts w:ascii="Arial" w:hAnsi="Arial" w:cs="Arial"/>
              </w:rPr>
              <w:t>Create a plan for familiar project or process</w:t>
            </w:r>
          </w:p>
          <w:p w:rsidR="00346EDD" w:rsidRDefault="00346EDD" w:rsidP="002F7242">
            <w:pPr>
              <w:rPr>
                <w:rFonts w:ascii="Arial" w:hAnsi="Arial" w:cs="Arial"/>
              </w:rPr>
            </w:pPr>
            <w:r>
              <w:rPr>
                <w:rFonts w:ascii="Arial" w:hAnsi="Arial" w:cs="Arial"/>
              </w:rPr>
              <w:t>Interpret a plan and decide what resources and required</w:t>
            </w:r>
          </w:p>
          <w:p w:rsidR="00346EDD" w:rsidRDefault="00346EDD" w:rsidP="002F7242">
            <w:pPr>
              <w:rPr>
                <w:rFonts w:ascii="Arial" w:hAnsi="Arial" w:cs="Arial"/>
              </w:rPr>
            </w:pPr>
            <w:r>
              <w:rPr>
                <w:rFonts w:ascii="Arial" w:hAnsi="Arial" w:cs="Arial"/>
              </w:rPr>
              <w:t xml:space="preserve">Bring resources together and ensure they are efficiently deployed </w:t>
            </w:r>
          </w:p>
          <w:p w:rsidR="00946A0D" w:rsidRDefault="00346EDD" w:rsidP="002F7242">
            <w:pPr>
              <w:rPr>
                <w:rFonts w:ascii="Arial" w:hAnsi="Arial" w:cs="Arial"/>
              </w:rPr>
            </w:pPr>
            <w:r>
              <w:rPr>
                <w:rFonts w:ascii="Arial" w:hAnsi="Arial" w:cs="Arial"/>
              </w:rPr>
              <w:t xml:space="preserve">Able to call upon and manage diverse skills and methods to deliver results </w:t>
            </w:r>
            <w:r w:rsidR="00946A0D">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rsidR="00C2124F" w:rsidRDefault="00346EDD" w:rsidP="002F7242">
            <w:pPr>
              <w:rPr>
                <w:rFonts w:ascii="Arial" w:hAnsi="Arial" w:cs="Arial"/>
              </w:rPr>
            </w:pPr>
            <w:r>
              <w:rPr>
                <w:rFonts w:ascii="Arial" w:hAnsi="Arial" w:cs="Arial"/>
              </w:rPr>
              <w:t xml:space="preserve">Understand the other’s point of view </w:t>
            </w:r>
          </w:p>
          <w:p w:rsidR="00346EDD" w:rsidRDefault="00346EDD" w:rsidP="002F7242">
            <w:pPr>
              <w:rPr>
                <w:rFonts w:ascii="Arial" w:hAnsi="Arial" w:cs="Arial"/>
              </w:rPr>
            </w:pPr>
            <w:r>
              <w:rPr>
                <w:rFonts w:ascii="Arial" w:hAnsi="Arial" w:cs="Arial"/>
              </w:rPr>
              <w:t>Make an objective and structured case with pros and cons</w:t>
            </w:r>
          </w:p>
          <w:p w:rsidR="00346EDD" w:rsidRDefault="00346EDD" w:rsidP="002F7242">
            <w:pPr>
              <w:rPr>
                <w:rFonts w:ascii="Arial" w:hAnsi="Arial" w:cs="Arial"/>
              </w:rPr>
            </w:pPr>
            <w:r>
              <w:rPr>
                <w:rFonts w:ascii="Arial" w:hAnsi="Arial" w:cs="Arial"/>
              </w:rPr>
              <w:t>Understand the need to give and take</w:t>
            </w:r>
          </w:p>
          <w:p w:rsidR="00346EDD" w:rsidRDefault="00346EDD" w:rsidP="002F7242">
            <w:pPr>
              <w:rPr>
                <w:rFonts w:ascii="Arial" w:hAnsi="Arial" w:cs="Arial"/>
              </w:rPr>
            </w:pPr>
            <w:r>
              <w:rPr>
                <w:rFonts w:ascii="Arial" w:hAnsi="Arial" w:cs="Arial"/>
              </w:rPr>
              <w:t>Understand and defend a position</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rsidR="00C2124F" w:rsidRDefault="00346EDD" w:rsidP="002F7242">
            <w:pPr>
              <w:rPr>
                <w:rFonts w:ascii="Arial" w:hAnsi="Arial" w:cs="Arial"/>
              </w:rPr>
            </w:pPr>
            <w:r>
              <w:rPr>
                <w:rFonts w:ascii="Arial" w:hAnsi="Arial" w:cs="Arial"/>
              </w:rPr>
              <w:t>Can work well within tested frameworks of development to identify other’s needs</w:t>
            </w:r>
          </w:p>
          <w:p w:rsidR="00346EDD" w:rsidRDefault="00346EDD" w:rsidP="002F7242">
            <w:pPr>
              <w:rPr>
                <w:rFonts w:ascii="Arial" w:hAnsi="Arial" w:cs="Arial"/>
              </w:rPr>
            </w:pPr>
            <w:r>
              <w:rPr>
                <w:rFonts w:ascii="Arial" w:hAnsi="Arial" w:cs="Arial"/>
              </w:rPr>
              <w:t>Use personal experience to build skills in other people</w:t>
            </w:r>
          </w:p>
          <w:p w:rsidR="00346EDD" w:rsidRDefault="00346EDD" w:rsidP="002F7242">
            <w:pPr>
              <w:rPr>
                <w:rFonts w:ascii="Arial" w:hAnsi="Arial" w:cs="Arial"/>
              </w:rPr>
            </w:pPr>
            <w:r>
              <w:rPr>
                <w:rFonts w:ascii="Arial" w:hAnsi="Arial" w:cs="Arial"/>
              </w:rPr>
              <w:t xml:space="preserve">Use informal and formal performance reviews to target needs for development </w:t>
            </w:r>
          </w:p>
          <w:p w:rsidR="00346EDD" w:rsidRDefault="00346EDD" w:rsidP="002F7242">
            <w:pPr>
              <w:rPr>
                <w:rFonts w:ascii="Arial" w:hAnsi="Arial" w:cs="Arial"/>
              </w:rPr>
            </w:pPr>
            <w:r>
              <w:rPr>
                <w:rFonts w:ascii="Arial" w:hAnsi="Arial" w:cs="Arial"/>
              </w:rPr>
              <w:t xml:space="preserve">Understand and recognise </w:t>
            </w:r>
            <w:r w:rsidR="008D030E">
              <w:rPr>
                <w:rFonts w:ascii="Arial" w:hAnsi="Arial" w:cs="Arial"/>
              </w:rPr>
              <w:t>people’s current career needs</w:t>
            </w:r>
          </w:p>
          <w:p w:rsidR="008D030E" w:rsidRDefault="008D030E" w:rsidP="002F7242">
            <w:pPr>
              <w:rPr>
                <w:rFonts w:ascii="Arial" w:hAnsi="Arial" w:cs="Arial"/>
              </w:rPr>
            </w:pPr>
            <w:r>
              <w:rPr>
                <w:rFonts w:ascii="Arial" w:hAnsi="Arial" w:cs="Arial"/>
              </w:rPr>
              <w:t>Coach and give feedback</w:t>
            </w:r>
          </w:p>
          <w:p w:rsidR="008D030E" w:rsidRDefault="008D030E" w:rsidP="002F7242">
            <w:pPr>
              <w:rPr>
                <w:rFonts w:ascii="Arial" w:hAnsi="Arial" w:cs="Arial"/>
              </w:rPr>
            </w:pPr>
            <w:r>
              <w:rPr>
                <w:rFonts w:ascii="Arial" w:hAnsi="Arial" w:cs="Arial"/>
              </w:rPr>
              <w:t xml:space="preserve">Build development plans with others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3E300A" w:rsidP="00816C14">
            <w:pPr>
              <w:rPr>
                <w:rFonts w:ascii="Arial" w:hAnsi="Arial" w:cs="Arial"/>
              </w:rPr>
            </w:pPr>
            <w:r w:rsidRPr="003E300A">
              <w:rPr>
                <w:rFonts w:ascii="Arial" w:hAnsi="Arial" w:cs="Arial"/>
              </w:rPr>
              <w:t>Provide subject matter expertise, leadership and direction to a team of environmental advisors, ensuring the continuous improvement to environmental performance, and contribute to pre-contract, work-winning and audit activities through the development of the business unit strategy.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3E300A" w:rsidRPr="003E300A" w:rsidRDefault="003E300A" w:rsidP="003E300A">
            <w:pPr>
              <w:rPr>
                <w:rFonts w:ascii="Arial" w:hAnsi="Arial" w:cs="Arial"/>
              </w:rPr>
            </w:pPr>
            <w:r w:rsidRPr="003E300A">
              <w:rPr>
                <w:rFonts w:ascii="Arial" w:hAnsi="Arial" w:cs="Arial"/>
              </w:rPr>
              <w:t>Lead and manage the advisory team across contracts and sites to deliver effective support to all of our people</w:t>
            </w:r>
          </w:p>
          <w:p w:rsidR="003E300A" w:rsidRPr="003E300A" w:rsidRDefault="003E300A" w:rsidP="003E300A">
            <w:pPr>
              <w:rPr>
                <w:rFonts w:ascii="Arial" w:hAnsi="Arial" w:cs="Arial"/>
              </w:rPr>
            </w:pPr>
            <w:r w:rsidRPr="003E300A">
              <w:rPr>
                <w:rFonts w:ascii="Arial" w:hAnsi="Arial" w:cs="Arial"/>
              </w:rPr>
              <w:t>Deliver environmental advice and guidance at all levels to minimise risk to the company</w:t>
            </w:r>
          </w:p>
          <w:p w:rsidR="003E300A" w:rsidRPr="003E300A" w:rsidRDefault="003E300A" w:rsidP="003E300A">
            <w:pPr>
              <w:rPr>
                <w:rFonts w:ascii="Arial" w:hAnsi="Arial" w:cs="Arial"/>
              </w:rPr>
            </w:pPr>
            <w:r w:rsidRPr="003E300A">
              <w:rPr>
                <w:rFonts w:ascii="Arial" w:hAnsi="Arial" w:cs="Arial"/>
              </w:rPr>
              <w:t>Assist the head of sustainability and environment and the business unit SHEQ team leader in developing environmental elements of the company management system (CMS) including the production of documents to maintain our ISO14001 certification</w:t>
            </w:r>
          </w:p>
          <w:p w:rsidR="0014123A" w:rsidRDefault="003E300A" w:rsidP="003E300A">
            <w:pPr>
              <w:rPr>
                <w:rFonts w:ascii="Arial" w:hAnsi="Arial" w:cs="Arial"/>
              </w:rPr>
            </w:pPr>
            <w:r w:rsidRPr="003E300A">
              <w:rPr>
                <w:rFonts w:ascii="Arial" w:hAnsi="Arial" w:cs="Arial"/>
              </w:rPr>
              <w:t>Support the development of the environment and sustainability strategy and management action plans for improvement within the infrastructure business unit in line with corporate requirements</w:t>
            </w:r>
          </w:p>
          <w:p w:rsidR="003E300A" w:rsidRPr="003E300A" w:rsidRDefault="003E300A" w:rsidP="003E300A">
            <w:pPr>
              <w:rPr>
                <w:rFonts w:ascii="Arial" w:hAnsi="Arial" w:cs="Arial"/>
              </w:rPr>
            </w:pPr>
            <w:r w:rsidRPr="003E300A">
              <w:rPr>
                <w:rFonts w:ascii="Arial" w:hAnsi="Arial" w:cs="Arial"/>
              </w:rPr>
              <w:t>Lead and undertake inspections, audits and investigations where required, reporting on, and implementing lessons learned and improvements</w:t>
            </w:r>
          </w:p>
          <w:p w:rsidR="003E300A" w:rsidRPr="003E300A" w:rsidRDefault="003E300A" w:rsidP="003E300A">
            <w:pPr>
              <w:rPr>
                <w:rFonts w:ascii="Arial" w:hAnsi="Arial" w:cs="Arial"/>
              </w:rPr>
            </w:pPr>
            <w:r w:rsidRPr="003E300A">
              <w:rPr>
                <w:rFonts w:ascii="Arial" w:hAnsi="Arial" w:cs="Arial"/>
              </w:rPr>
              <w:t>Assist head of sustainability and environment in developing environmental elements of the company management system (CMS) including the production of documents to maintain ISO14001 certification</w:t>
            </w:r>
          </w:p>
          <w:p w:rsidR="003E300A" w:rsidRPr="003E300A" w:rsidRDefault="003E300A" w:rsidP="003E300A">
            <w:pPr>
              <w:rPr>
                <w:rFonts w:ascii="Arial" w:hAnsi="Arial" w:cs="Arial"/>
              </w:rPr>
            </w:pPr>
            <w:r w:rsidRPr="003E300A">
              <w:rPr>
                <w:rFonts w:ascii="Arial" w:hAnsi="Arial" w:cs="Arial"/>
              </w:rPr>
              <w:t>Develop and support the team of advisors, and monitor and review performance in line with company processes to deliver current and future requirements</w:t>
            </w:r>
          </w:p>
          <w:p w:rsidR="003E300A" w:rsidRPr="003E300A" w:rsidRDefault="003E300A" w:rsidP="003E300A">
            <w:pPr>
              <w:rPr>
                <w:rFonts w:ascii="Arial" w:hAnsi="Arial" w:cs="Arial"/>
              </w:rPr>
            </w:pPr>
            <w:r w:rsidRPr="003E300A">
              <w:rPr>
                <w:rFonts w:ascii="Arial" w:hAnsi="Arial" w:cs="Arial"/>
              </w:rPr>
              <w:t xml:space="preserve">Work in collaboration with the pre-contract director and bid managers to contribute to business unit pre-contract and work-winning activities </w:t>
            </w:r>
          </w:p>
          <w:p w:rsidR="003E300A" w:rsidRPr="003E300A" w:rsidRDefault="003E300A" w:rsidP="003E300A">
            <w:pPr>
              <w:rPr>
                <w:rFonts w:ascii="Arial" w:hAnsi="Arial" w:cs="Arial"/>
              </w:rPr>
            </w:pPr>
            <w:r w:rsidRPr="003E300A">
              <w:rPr>
                <w:rFonts w:ascii="Arial" w:hAnsi="Arial" w:cs="Arial"/>
              </w:rPr>
              <w:t>Review compliance with management systems and environmental management plans and legislation via internal audits and by supporting external audits</w:t>
            </w:r>
          </w:p>
          <w:p w:rsidR="003E300A" w:rsidRPr="003E300A" w:rsidRDefault="003E300A" w:rsidP="003E300A">
            <w:pPr>
              <w:rPr>
                <w:rFonts w:ascii="Arial" w:hAnsi="Arial" w:cs="Arial"/>
              </w:rPr>
            </w:pPr>
            <w:r w:rsidRPr="003E300A">
              <w:rPr>
                <w:rFonts w:ascii="Arial" w:hAnsi="Arial" w:cs="Arial"/>
              </w:rPr>
              <w:t>Identify and promote best practice across the business unit and share lessons learnt</w:t>
            </w:r>
          </w:p>
          <w:p w:rsidR="003E300A" w:rsidRPr="003E300A" w:rsidRDefault="003E300A" w:rsidP="003E300A">
            <w:pPr>
              <w:rPr>
                <w:rFonts w:ascii="Arial" w:hAnsi="Arial" w:cs="Arial"/>
              </w:rPr>
            </w:pPr>
            <w:r w:rsidRPr="003E300A">
              <w:rPr>
                <w:rFonts w:ascii="Arial" w:hAnsi="Arial" w:cs="Arial"/>
              </w:rPr>
              <w:t>Maintain current working knowledge of relevant legislation and industry practice and provide input to corporate strategy and local action plans to ensure compliance</w:t>
            </w:r>
          </w:p>
          <w:p w:rsidR="003E300A" w:rsidRPr="003E300A" w:rsidRDefault="003E300A" w:rsidP="003E300A">
            <w:pPr>
              <w:rPr>
                <w:rFonts w:ascii="Arial" w:hAnsi="Arial" w:cs="Arial"/>
              </w:rPr>
            </w:pPr>
            <w:r w:rsidRPr="003E300A">
              <w:rPr>
                <w:rFonts w:ascii="Arial" w:hAnsi="Arial" w:cs="Arial"/>
              </w:rPr>
              <w:t>Liaise with customer personnel on matters of environment and promote best practice solutions</w:t>
            </w:r>
          </w:p>
          <w:p w:rsidR="003E300A" w:rsidRPr="003E300A" w:rsidRDefault="003E300A" w:rsidP="003E300A">
            <w:pPr>
              <w:rPr>
                <w:rFonts w:ascii="Arial" w:hAnsi="Arial" w:cs="Arial"/>
              </w:rPr>
            </w:pPr>
            <w:r w:rsidRPr="003E300A">
              <w:rPr>
                <w:rFonts w:ascii="Arial" w:hAnsi="Arial" w:cs="Arial"/>
              </w:rPr>
              <w:t xml:space="preserve">Consistently deliver exceptional levels of service to customers </w:t>
            </w:r>
          </w:p>
          <w:p w:rsidR="003E300A" w:rsidRPr="00F354EF" w:rsidRDefault="003E300A" w:rsidP="003E300A">
            <w:pPr>
              <w:rPr>
                <w:rFonts w:ascii="Arial" w:hAnsi="Arial" w:cs="Arial"/>
              </w:rPr>
            </w:pPr>
            <w:r w:rsidRPr="003E300A">
              <w:rPr>
                <w:rFonts w:ascii="Arial" w:hAnsi="Arial" w:cs="Arial"/>
              </w:rPr>
              <w:t xml:space="preserve">Lead the use of </w:t>
            </w:r>
            <w:proofErr w:type="spellStart"/>
            <w:r w:rsidRPr="003E300A">
              <w:rPr>
                <w:rFonts w:ascii="Arial" w:hAnsi="Arial" w:cs="Arial"/>
              </w:rPr>
              <w:t>Askest</w:t>
            </w:r>
            <w:proofErr w:type="spellEnd"/>
            <w:r w:rsidRPr="003E300A">
              <w:rPr>
                <w:rFonts w:ascii="Arial" w:hAnsi="Arial" w:cs="Arial"/>
              </w:rPr>
              <w:t xml:space="preserve"> as the company performance measurement tool and ensure that relevant and required information is captured at project and business unit level.</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3E300A" w:rsidRPr="003E300A" w:rsidRDefault="003E300A" w:rsidP="003E300A">
            <w:pPr>
              <w:rPr>
                <w:rFonts w:ascii="Arial" w:hAnsi="Arial" w:cs="Arial"/>
              </w:rPr>
            </w:pPr>
            <w:r w:rsidRPr="003E300A">
              <w:rPr>
                <w:rFonts w:ascii="Arial" w:hAnsi="Arial" w:cs="Arial"/>
              </w:rPr>
              <w:t>Educated to degree level or equivalent in a relevant subject matter</w:t>
            </w:r>
          </w:p>
          <w:p w:rsidR="003E300A" w:rsidRPr="003E300A" w:rsidRDefault="003E300A" w:rsidP="003E300A">
            <w:pPr>
              <w:rPr>
                <w:rFonts w:ascii="Arial" w:hAnsi="Arial" w:cs="Arial"/>
              </w:rPr>
            </w:pPr>
            <w:r w:rsidRPr="003E300A">
              <w:rPr>
                <w:rFonts w:ascii="Arial" w:hAnsi="Arial" w:cs="Arial"/>
              </w:rPr>
              <w:t>Chartered Environmentalist (</w:t>
            </w:r>
            <w:proofErr w:type="spellStart"/>
            <w:r w:rsidRPr="003E300A">
              <w:rPr>
                <w:rFonts w:ascii="Arial" w:hAnsi="Arial" w:cs="Arial"/>
              </w:rPr>
              <w:t>CEnv</w:t>
            </w:r>
            <w:proofErr w:type="spellEnd"/>
            <w:r w:rsidRPr="003E300A">
              <w:rPr>
                <w:rFonts w:ascii="Arial" w:hAnsi="Arial" w:cs="Arial"/>
              </w:rPr>
              <w:t>) / MIEMA working towards chartered status</w:t>
            </w:r>
          </w:p>
          <w:p w:rsidR="003E300A" w:rsidRPr="003E300A" w:rsidRDefault="003E300A" w:rsidP="003E300A">
            <w:pPr>
              <w:rPr>
                <w:rFonts w:ascii="Arial" w:hAnsi="Arial" w:cs="Arial"/>
              </w:rPr>
            </w:pPr>
            <w:r w:rsidRPr="003E300A">
              <w:rPr>
                <w:rFonts w:ascii="Arial" w:hAnsi="Arial" w:cs="Arial"/>
              </w:rPr>
              <w:t>Recognised internal auditing qualifications</w:t>
            </w:r>
          </w:p>
          <w:p w:rsidR="003E300A" w:rsidRPr="003E300A" w:rsidRDefault="003E300A" w:rsidP="003E300A">
            <w:pPr>
              <w:rPr>
                <w:rFonts w:ascii="Arial" w:hAnsi="Arial" w:cs="Arial"/>
              </w:rPr>
            </w:pPr>
            <w:r w:rsidRPr="003E300A">
              <w:rPr>
                <w:rFonts w:ascii="Arial" w:hAnsi="Arial" w:cs="Arial"/>
              </w:rPr>
              <w:t>Previous senior level experience of compliance with environmental legislation and company management systems within a civil engineering environment</w:t>
            </w:r>
          </w:p>
          <w:p w:rsidR="003E300A" w:rsidRPr="003E300A" w:rsidRDefault="003E300A" w:rsidP="003E300A">
            <w:pPr>
              <w:rPr>
                <w:rFonts w:ascii="Arial" w:hAnsi="Arial" w:cs="Arial"/>
              </w:rPr>
            </w:pPr>
            <w:r w:rsidRPr="003E300A">
              <w:rPr>
                <w:rFonts w:ascii="Arial" w:hAnsi="Arial" w:cs="Arial"/>
              </w:rPr>
              <w:t>Thorough understanding of corporate strategy, values and objectives.</w:t>
            </w:r>
          </w:p>
          <w:p w:rsidR="0014123A" w:rsidRPr="00F354EF" w:rsidRDefault="003E300A" w:rsidP="003E300A">
            <w:pPr>
              <w:rPr>
                <w:rFonts w:ascii="Arial" w:hAnsi="Arial" w:cs="Arial"/>
              </w:rPr>
            </w:pPr>
            <w:r w:rsidRPr="003E300A">
              <w:rPr>
                <w:rFonts w:ascii="Arial" w:hAnsi="Arial" w:cs="Arial"/>
              </w:rPr>
              <w:t>Thorough knowledge of ISO14001 Environmental Management System and its implementation</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3E300A" w:rsidRPr="003E300A" w:rsidRDefault="003E300A" w:rsidP="003E300A">
            <w:pPr>
              <w:rPr>
                <w:rFonts w:ascii="Arial" w:hAnsi="Arial" w:cs="Arial"/>
              </w:rPr>
            </w:pPr>
            <w:r w:rsidRPr="003E300A">
              <w:rPr>
                <w:rFonts w:ascii="Arial" w:hAnsi="Arial" w:cs="Arial"/>
              </w:rPr>
              <w:t>Excellent organisational, planning and time management skills; able to manage multiple projects simultaneously without compromising on standards and quality</w:t>
            </w:r>
          </w:p>
          <w:p w:rsidR="003E300A" w:rsidRPr="003E300A" w:rsidRDefault="003E300A" w:rsidP="003E300A">
            <w:pPr>
              <w:rPr>
                <w:rFonts w:ascii="Arial" w:hAnsi="Arial" w:cs="Arial"/>
              </w:rPr>
            </w:pPr>
            <w:r w:rsidRPr="003E300A">
              <w:rPr>
                <w:rFonts w:ascii="Arial" w:hAnsi="Arial" w:cs="Arial"/>
              </w:rPr>
              <w:t>Professional and ethical approach to work; experience of facing decision making scenarios – balancing the needs of legislation and compliance with operational demands</w:t>
            </w:r>
          </w:p>
          <w:p w:rsidR="003E300A" w:rsidRPr="003E300A" w:rsidRDefault="003E300A" w:rsidP="003E300A">
            <w:pPr>
              <w:rPr>
                <w:rFonts w:ascii="Arial" w:hAnsi="Arial" w:cs="Arial"/>
              </w:rPr>
            </w:pPr>
            <w:r w:rsidRPr="003E300A">
              <w:rPr>
                <w:rFonts w:ascii="Arial" w:hAnsi="Arial" w:cs="Arial"/>
              </w:rPr>
              <w:t>Ability to develop friendly and professional customer focused relations with others</w:t>
            </w:r>
          </w:p>
          <w:p w:rsidR="003E300A" w:rsidRPr="003E300A" w:rsidRDefault="003E300A" w:rsidP="003E300A">
            <w:pPr>
              <w:rPr>
                <w:rFonts w:ascii="Arial" w:hAnsi="Arial" w:cs="Arial"/>
              </w:rPr>
            </w:pPr>
            <w:r w:rsidRPr="003E300A">
              <w:rPr>
                <w:rFonts w:ascii="Arial" w:hAnsi="Arial" w:cs="Arial"/>
              </w:rPr>
              <w:t xml:space="preserve">Good management skills, with the ability to motivate employees to achieve high standards of compliance </w:t>
            </w:r>
          </w:p>
          <w:p w:rsidR="003E300A" w:rsidRPr="003E300A" w:rsidRDefault="003E300A" w:rsidP="003E300A">
            <w:pPr>
              <w:rPr>
                <w:rFonts w:ascii="Arial" w:hAnsi="Arial" w:cs="Arial"/>
              </w:rPr>
            </w:pPr>
            <w:r w:rsidRPr="003E300A">
              <w:rPr>
                <w:rFonts w:ascii="Arial" w:hAnsi="Arial" w:cs="Arial"/>
              </w:rPr>
              <w:lastRenderedPageBreak/>
              <w:t>Excellent communications skills, with the ability to simplify complex concepts both orally and in written form</w:t>
            </w:r>
          </w:p>
          <w:p w:rsidR="003E300A" w:rsidRPr="003E300A" w:rsidRDefault="003E300A" w:rsidP="003E300A">
            <w:pPr>
              <w:rPr>
                <w:rFonts w:ascii="Arial" w:hAnsi="Arial" w:cs="Arial"/>
              </w:rPr>
            </w:pPr>
            <w:r w:rsidRPr="003E300A">
              <w:rPr>
                <w:rFonts w:ascii="Arial" w:hAnsi="Arial" w:cs="Arial"/>
              </w:rPr>
              <w:t>Excellent negotiation and diplomacy skills and the ability to convince senior colleagues of the need to develop solutions to the benefit of the business</w:t>
            </w:r>
          </w:p>
          <w:p w:rsidR="003E300A" w:rsidRPr="003E300A" w:rsidRDefault="003E300A" w:rsidP="003E300A">
            <w:pPr>
              <w:rPr>
                <w:rFonts w:ascii="Arial" w:hAnsi="Arial" w:cs="Arial"/>
              </w:rPr>
            </w:pPr>
            <w:r w:rsidRPr="003E300A">
              <w:rPr>
                <w:rFonts w:ascii="Arial" w:hAnsi="Arial" w:cs="Arial"/>
              </w:rPr>
              <w:t>Ability to clearly demonstrate high competence in areas of challenging, influencing and coaching</w:t>
            </w:r>
          </w:p>
          <w:p w:rsidR="003E300A" w:rsidRPr="003E300A" w:rsidRDefault="003E300A" w:rsidP="003E300A">
            <w:pPr>
              <w:rPr>
                <w:rFonts w:ascii="Arial" w:hAnsi="Arial" w:cs="Arial"/>
              </w:rPr>
            </w:pPr>
            <w:r w:rsidRPr="003E300A">
              <w:rPr>
                <w:rFonts w:ascii="Arial" w:hAnsi="Arial" w:cs="Arial"/>
              </w:rPr>
              <w:t>Self-driven, results-oriented with a positive outlook</w:t>
            </w:r>
          </w:p>
          <w:p w:rsidR="003E300A" w:rsidRPr="003E300A" w:rsidRDefault="003E300A" w:rsidP="003E300A">
            <w:pPr>
              <w:rPr>
                <w:rFonts w:ascii="Arial" w:hAnsi="Arial" w:cs="Arial"/>
              </w:rPr>
            </w:pPr>
            <w:r w:rsidRPr="003E300A">
              <w:rPr>
                <w:rFonts w:ascii="Arial" w:hAnsi="Arial" w:cs="Arial"/>
              </w:rPr>
              <w:t>Clear focus on high quality and business profit</w:t>
            </w:r>
          </w:p>
          <w:p w:rsidR="00260571" w:rsidRDefault="003E300A" w:rsidP="003E300A">
            <w:pPr>
              <w:rPr>
                <w:rFonts w:ascii="Arial" w:hAnsi="Arial" w:cs="Arial"/>
              </w:rPr>
            </w:pPr>
            <w:r w:rsidRPr="003E300A">
              <w:rPr>
                <w:rFonts w:ascii="Arial" w:hAnsi="Arial" w:cs="Arial"/>
              </w:rPr>
              <w:t>Ability to use judgement and make decisions in ambiguous situations</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0E" w:rsidRDefault="008D030E">
      <w:r>
        <w:separator/>
      </w:r>
    </w:p>
  </w:endnote>
  <w:endnote w:type="continuationSeparator" w:id="0">
    <w:p w:rsidR="008D030E" w:rsidRDefault="008D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6C" w:rsidRDefault="00892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8D030E" w:rsidRPr="0064776C" w:rsidTr="002E2ECB">
      <w:trPr>
        <w:trHeight w:val="70"/>
        <w:jc w:val="center"/>
      </w:trPr>
      <w:tc>
        <w:tcPr>
          <w:tcW w:w="2376" w:type="dxa"/>
        </w:tcPr>
        <w:p w:rsidR="008D030E" w:rsidRPr="00EB0B1E" w:rsidRDefault="008D030E" w:rsidP="0064776C">
          <w:pPr>
            <w:pStyle w:val="Footer"/>
            <w:jc w:val="center"/>
            <w:rPr>
              <w:rFonts w:ascii="Arial" w:hAnsi="Arial" w:cs="Arial"/>
              <w:color w:val="1E1E1E"/>
              <w:sz w:val="8"/>
              <w:szCs w:val="8"/>
            </w:rPr>
          </w:pPr>
        </w:p>
      </w:tc>
      <w:tc>
        <w:tcPr>
          <w:tcW w:w="1408" w:type="dxa"/>
        </w:tcPr>
        <w:p w:rsidR="008D030E" w:rsidRPr="00EB0B1E" w:rsidRDefault="008D030E" w:rsidP="0064776C">
          <w:pPr>
            <w:pStyle w:val="Footer"/>
            <w:jc w:val="center"/>
            <w:rPr>
              <w:rFonts w:ascii="Arial" w:hAnsi="Arial" w:cs="Arial"/>
              <w:color w:val="1E1E1E"/>
              <w:sz w:val="8"/>
              <w:szCs w:val="8"/>
            </w:rPr>
          </w:pPr>
        </w:p>
      </w:tc>
      <w:tc>
        <w:tcPr>
          <w:tcW w:w="1488" w:type="dxa"/>
        </w:tcPr>
        <w:p w:rsidR="008D030E" w:rsidRPr="00EB0B1E" w:rsidRDefault="008D030E" w:rsidP="0064776C">
          <w:pPr>
            <w:pStyle w:val="Footer"/>
            <w:jc w:val="center"/>
            <w:rPr>
              <w:rFonts w:ascii="Arial" w:hAnsi="Arial" w:cs="Arial"/>
              <w:color w:val="1E1E1E"/>
              <w:sz w:val="8"/>
              <w:szCs w:val="8"/>
            </w:rPr>
          </w:pPr>
        </w:p>
      </w:tc>
      <w:tc>
        <w:tcPr>
          <w:tcW w:w="1763" w:type="dxa"/>
        </w:tcPr>
        <w:p w:rsidR="008D030E" w:rsidRPr="00EB0B1E" w:rsidRDefault="008D030E" w:rsidP="0064776C">
          <w:pPr>
            <w:pStyle w:val="Footer"/>
            <w:jc w:val="center"/>
            <w:rPr>
              <w:rFonts w:ascii="Arial" w:hAnsi="Arial" w:cs="Arial"/>
              <w:color w:val="1E1E1E"/>
              <w:sz w:val="8"/>
              <w:szCs w:val="8"/>
            </w:rPr>
          </w:pPr>
        </w:p>
      </w:tc>
      <w:tc>
        <w:tcPr>
          <w:tcW w:w="1429" w:type="dxa"/>
          <w:shd w:val="clear" w:color="auto" w:fill="auto"/>
        </w:tcPr>
        <w:p w:rsidR="008D030E" w:rsidRPr="00EB0B1E" w:rsidRDefault="008D030E" w:rsidP="0064776C">
          <w:pPr>
            <w:pStyle w:val="Footer"/>
            <w:jc w:val="center"/>
            <w:rPr>
              <w:rFonts w:ascii="Arial" w:hAnsi="Arial" w:cs="Arial"/>
              <w:color w:val="1E1E1E"/>
              <w:sz w:val="8"/>
              <w:szCs w:val="8"/>
            </w:rPr>
          </w:pPr>
        </w:p>
      </w:tc>
      <w:tc>
        <w:tcPr>
          <w:tcW w:w="1959" w:type="dxa"/>
          <w:shd w:val="clear" w:color="auto" w:fill="auto"/>
        </w:tcPr>
        <w:p w:rsidR="008D030E" w:rsidRPr="00EB0B1E" w:rsidRDefault="008D030E" w:rsidP="0064776C">
          <w:pPr>
            <w:pStyle w:val="Footer"/>
            <w:jc w:val="center"/>
            <w:rPr>
              <w:rFonts w:ascii="Arial" w:hAnsi="Arial" w:cs="Arial"/>
              <w:color w:val="1E1E1E"/>
              <w:sz w:val="8"/>
              <w:szCs w:val="8"/>
            </w:rPr>
          </w:pPr>
        </w:p>
      </w:tc>
    </w:tr>
    <w:tr w:rsidR="008D030E" w:rsidRPr="0064776C" w:rsidTr="002E2ECB">
      <w:trPr>
        <w:jc w:val="center"/>
      </w:trPr>
      <w:tc>
        <w:tcPr>
          <w:tcW w:w="10423" w:type="dxa"/>
          <w:gridSpan w:val="6"/>
        </w:tcPr>
        <w:p w:rsidR="008D030E" w:rsidRPr="00EB0B1E" w:rsidRDefault="008D030E"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8D030E" w:rsidRPr="00660676" w:rsidRDefault="008D030E"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6C" w:rsidRDefault="00892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0E" w:rsidRDefault="008D030E">
      <w:r>
        <w:separator/>
      </w:r>
    </w:p>
  </w:footnote>
  <w:footnote w:type="continuationSeparator" w:id="0">
    <w:p w:rsidR="008D030E" w:rsidRDefault="008D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6C" w:rsidRDefault="00892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0E" w:rsidRPr="00F42DAA" w:rsidRDefault="008D030E"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8D030E" w:rsidRPr="00B64C5D" w:rsidRDefault="008D030E">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30E" w:rsidRPr="00CC0B20" w:rsidRDefault="008D030E"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B6B06" w:rsidRPr="00CC0B20" w:rsidRDefault="00CC0B20" w:rsidP="00CC0B20">
                      <w:pPr>
                        <w:rPr>
                          <w:rFonts w:ascii="Arial" w:hAnsi="Arial" w:cs="Arial"/>
                          <w:b/>
                          <w:color w:val="auto"/>
                        </w:rPr>
                      </w:pPr>
                      <w:r>
                        <w:rPr>
                          <w:rFonts w:ascii="Arial" w:hAnsi="Arial" w:cs="Arial"/>
                          <w:b/>
                          <w:color w:val="auto"/>
                        </w:rPr>
                        <w:t xml:space="preserve">ROLE DEFINITION </w:t>
                      </w:r>
                      <w:r w:rsidR="008B6B06" w:rsidRPr="00CC0B20">
                        <w:rPr>
                          <w:rFonts w:ascii="Arial" w:hAnsi="Arial" w:cs="Arial"/>
                          <w:b/>
                          <w:color w:val="auto"/>
                        </w:rPr>
                        <w:t xml:space="preserve"> </w:t>
                      </w:r>
                    </w:p>
                  </w:txbxContent>
                </v:textbox>
              </v:shape>
            </v:group>
          </w:pict>
        </mc:Fallback>
      </mc:AlternateContent>
    </w:r>
  </w:p>
  <w:p w:rsidR="008D030E" w:rsidRDefault="0089246C" w:rsidP="0089246C">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8D030E" w:rsidRDefault="008D030E">
    <w:pPr>
      <w:rPr>
        <w:sz w:val="8"/>
        <w:szCs w:val="8"/>
      </w:rPr>
    </w:pPr>
  </w:p>
  <w:p w:rsidR="008D030E" w:rsidRDefault="008D030E">
    <w:pPr>
      <w:rPr>
        <w:sz w:val="8"/>
        <w:szCs w:val="8"/>
      </w:rPr>
    </w:pPr>
  </w:p>
  <w:p w:rsidR="008D030E" w:rsidRDefault="008D030E">
    <w:pPr>
      <w:rPr>
        <w:sz w:val="8"/>
        <w:szCs w:val="8"/>
      </w:rPr>
    </w:pPr>
  </w:p>
  <w:p w:rsidR="008D030E" w:rsidRDefault="008D030E">
    <w:pPr>
      <w:rPr>
        <w:sz w:val="8"/>
        <w:szCs w:val="8"/>
      </w:rPr>
    </w:pPr>
  </w:p>
  <w:p w:rsidR="008D030E" w:rsidRDefault="008D030E">
    <w:pPr>
      <w:rPr>
        <w:sz w:val="8"/>
        <w:szCs w:val="8"/>
      </w:rPr>
    </w:pPr>
  </w:p>
  <w:p w:rsidR="008D030E" w:rsidRPr="00B64C5D" w:rsidRDefault="008D030E">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6C" w:rsidRDefault="00892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4123A"/>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16AF9"/>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00A"/>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19CB"/>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246C"/>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42DA"/>
    <w:rsid w:val="009F5612"/>
    <w:rsid w:val="009F60DD"/>
    <w:rsid w:val="00A13048"/>
    <w:rsid w:val="00A17328"/>
    <w:rsid w:val="00A2095D"/>
    <w:rsid w:val="00A2375E"/>
    <w:rsid w:val="00A239E5"/>
    <w:rsid w:val="00A30728"/>
    <w:rsid w:val="00A32273"/>
    <w:rsid w:val="00A362A1"/>
    <w:rsid w:val="00A3711D"/>
    <w:rsid w:val="00A43F03"/>
    <w:rsid w:val="00A51726"/>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94898"/>
    <w:rsid w:val="00CB01C5"/>
    <w:rsid w:val="00CB025E"/>
    <w:rsid w:val="00CB432D"/>
    <w:rsid w:val="00CC0B20"/>
    <w:rsid w:val="00CC7876"/>
    <w:rsid w:val="00CD0885"/>
    <w:rsid w:val="00CD3450"/>
    <w:rsid w:val="00CD7F66"/>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C72E1"/>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A230-6831-4FFC-8CB6-7EA793FC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5560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2016-02-16T11:04:00Z</dcterms:created>
  <dcterms:modified xsi:type="dcterms:W3CDTF">2017-02-01T12:25:00Z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