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240430" w:rsidP="00514543">
      <w:pPr>
        <w:pStyle w:val="Heading2"/>
        <w:spacing w:before="120" w:after="120"/>
        <w:rPr>
          <w:rFonts w:ascii="Arial" w:hAnsi="Arial" w:cs="Arial"/>
          <w:color w:val="00B0F0"/>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E4ED5" w:rsidRDefault="000E4ED5" w:rsidP="000E4ED5">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B06ED7" w:rsidP="00816C14">
            <w:pPr>
              <w:rPr>
                <w:rFonts w:ascii="Arial" w:hAnsi="Arial" w:cs="Arial"/>
              </w:rPr>
            </w:pPr>
            <w:r w:rsidRPr="00B06ED7">
              <w:rPr>
                <w:rFonts w:ascii="Arial" w:hAnsi="Arial" w:cs="Arial"/>
              </w:rPr>
              <w:t>To provide programmes, analysis of programmes and communication within the team as required by the senior planner / planning manager during tender stage and as required by the construction manager during the construction phase.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Responsibilities and accountabilities </w:t>
            </w:r>
          </w:p>
        </w:tc>
        <w:tc>
          <w:tcPr>
            <w:tcW w:w="3643" w:type="pct"/>
            <w:shd w:val="clear" w:color="auto" w:fill="auto"/>
          </w:tcPr>
          <w:p w:rsidR="00B06ED7" w:rsidRPr="00B06ED7" w:rsidRDefault="00B06ED7" w:rsidP="00B06ED7">
            <w:pPr>
              <w:rPr>
                <w:rFonts w:ascii="Arial" w:hAnsi="Arial" w:cs="Arial"/>
              </w:rPr>
            </w:pPr>
            <w:r w:rsidRPr="00B06ED7">
              <w:rPr>
                <w:rFonts w:ascii="Arial" w:hAnsi="Arial" w:cs="Arial"/>
              </w:rPr>
              <w:t>Produce fully logic linked design, procure and construct tender programmes</w:t>
            </w:r>
          </w:p>
          <w:p w:rsidR="00B06ED7" w:rsidRPr="00B06ED7" w:rsidRDefault="00B06ED7" w:rsidP="00B06ED7">
            <w:pPr>
              <w:rPr>
                <w:rFonts w:ascii="Arial" w:hAnsi="Arial" w:cs="Arial"/>
              </w:rPr>
            </w:pPr>
            <w:r w:rsidRPr="00B06ED7">
              <w:rPr>
                <w:rFonts w:ascii="Arial" w:hAnsi="Arial" w:cs="Arial"/>
              </w:rPr>
              <w:t>Produce and assist in the production of tender logistics plans, method statements, and temporary works (TW) schedules (including scaffold)</w:t>
            </w:r>
          </w:p>
          <w:p w:rsidR="00B06ED7" w:rsidRPr="00B06ED7" w:rsidRDefault="00B06ED7" w:rsidP="00B06ED7">
            <w:pPr>
              <w:rPr>
                <w:rFonts w:ascii="Arial" w:hAnsi="Arial" w:cs="Arial"/>
              </w:rPr>
            </w:pPr>
            <w:r w:rsidRPr="00B06ED7">
              <w:rPr>
                <w:rFonts w:ascii="Arial" w:hAnsi="Arial" w:cs="Arial"/>
              </w:rPr>
              <w:t>Engage with supply chain and team members to discuss and achieve optimum programme and method solutions</w:t>
            </w:r>
          </w:p>
          <w:p w:rsidR="00B06ED7" w:rsidRDefault="00B06ED7" w:rsidP="00B06ED7">
            <w:pPr>
              <w:rPr>
                <w:rFonts w:ascii="Arial" w:hAnsi="Arial" w:cs="Arial"/>
              </w:rPr>
            </w:pPr>
            <w:r w:rsidRPr="00B06ED7">
              <w:rPr>
                <w:rFonts w:ascii="Arial" w:hAnsi="Arial" w:cs="Arial"/>
              </w:rPr>
              <w:t xml:space="preserve">Assist project managers with </w:t>
            </w:r>
            <w:r w:rsidRPr="00B06ED7">
              <w:rPr>
                <w:rFonts w:ascii="Arial" w:hAnsi="Arial" w:cs="Arial"/>
              </w:rPr>
              <w:t>onsite</w:t>
            </w:r>
            <w:r w:rsidRPr="00B06ED7">
              <w:rPr>
                <w:rFonts w:ascii="Arial" w:hAnsi="Arial" w:cs="Arial"/>
              </w:rPr>
              <w:t xml:space="preserve"> planning and reporting requirements</w:t>
            </w:r>
          </w:p>
          <w:p w:rsidR="00B06ED7" w:rsidRPr="00B06ED7" w:rsidRDefault="00B06ED7" w:rsidP="00B06ED7">
            <w:pPr>
              <w:rPr>
                <w:rFonts w:ascii="Arial" w:hAnsi="Arial" w:cs="Arial"/>
              </w:rPr>
            </w:pPr>
            <w:r w:rsidRPr="00B06ED7">
              <w:rPr>
                <w:rFonts w:ascii="Arial" w:hAnsi="Arial" w:cs="Arial"/>
              </w:rPr>
              <w:t>Produce robust fully logic linked design, procurement, construction and commission tender programmes compliant with tender sum, design (where appropriate) and methodology without assistance for small to medium sized projects</w:t>
            </w:r>
          </w:p>
          <w:p w:rsidR="00B06ED7" w:rsidRPr="00B06ED7" w:rsidRDefault="00B06ED7" w:rsidP="00B06ED7">
            <w:pPr>
              <w:rPr>
                <w:rFonts w:ascii="Arial" w:hAnsi="Arial" w:cs="Arial"/>
              </w:rPr>
            </w:pPr>
            <w:r w:rsidRPr="00B06ED7">
              <w:rPr>
                <w:rFonts w:ascii="Arial" w:hAnsi="Arial" w:cs="Arial"/>
              </w:rPr>
              <w:t>Produce tender deliverables as required (agreed at tender kick off meeting)</w:t>
            </w:r>
          </w:p>
          <w:p w:rsidR="00B06ED7" w:rsidRPr="00B06ED7" w:rsidRDefault="00B06ED7" w:rsidP="00B06ED7">
            <w:pPr>
              <w:rPr>
                <w:rFonts w:ascii="Arial" w:hAnsi="Arial" w:cs="Arial"/>
              </w:rPr>
            </w:pPr>
            <w:r w:rsidRPr="00B06ED7">
              <w:rPr>
                <w:rFonts w:ascii="Arial" w:hAnsi="Arial" w:cs="Arial"/>
              </w:rPr>
              <w:t xml:space="preserve">Work with allocated operations support in the production of method statement and scaffold schedule </w:t>
            </w:r>
            <w:proofErr w:type="spellStart"/>
            <w:r w:rsidRPr="00B06ED7">
              <w:rPr>
                <w:rFonts w:ascii="Arial" w:hAnsi="Arial" w:cs="Arial"/>
              </w:rPr>
              <w:t>etc</w:t>
            </w:r>
            <w:proofErr w:type="spellEnd"/>
            <w:r w:rsidRPr="00B06ED7">
              <w:rPr>
                <w:rFonts w:ascii="Arial" w:hAnsi="Arial" w:cs="Arial"/>
              </w:rPr>
              <w:t xml:space="preserve"> and ensure that programme reflects agreed methods</w:t>
            </w:r>
          </w:p>
          <w:p w:rsidR="00B06ED7" w:rsidRPr="00B06ED7" w:rsidRDefault="00B06ED7" w:rsidP="00B06ED7">
            <w:pPr>
              <w:rPr>
                <w:rFonts w:ascii="Arial" w:hAnsi="Arial" w:cs="Arial"/>
              </w:rPr>
            </w:pPr>
            <w:r w:rsidRPr="00B06ED7">
              <w:rPr>
                <w:rFonts w:ascii="Arial" w:hAnsi="Arial" w:cs="Arial"/>
              </w:rPr>
              <w:t>Produce (or lead if outsourced) logistics plans / phasing plans</w:t>
            </w:r>
          </w:p>
          <w:p w:rsidR="00B06ED7" w:rsidRPr="00B06ED7" w:rsidRDefault="00B06ED7" w:rsidP="00B06ED7">
            <w:pPr>
              <w:rPr>
                <w:rFonts w:ascii="Arial" w:hAnsi="Arial" w:cs="Arial"/>
              </w:rPr>
            </w:pPr>
            <w:r w:rsidRPr="00B06ED7">
              <w:rPr>
                <w:rFonts w:ascii="Arial" w:hAnsi="Arial" w:cs="Arial"/>
              </w:rPr>
              <w:t>Ensure all deliverables are produced to the agreed Tender Activity Programme (TAP) timescales to ensure they are available to other members of the tender team in good time</w:t>
            </w:r>
          </w:p>
          <w:p w:rsidR="00B06ED7" w:rsidRPr="00B06ED7" w:rsidRDefault="00B06ED7" w:rsidP="00B06ED7">
            <w:pPr>
              <w:rPr>
                <w:rFonts w:ascii="Arial" w:hAnsi="Arial" w:cs="Arial"/>
              </w:rPr>
            </w:pPr>
            <w:r w:rsidRPr="00B06ED7">
              <w:rPr>
                <w:rFonts w:ascii="Arial" w:hAnsi="Arial" w:cs="Arial"/>
              </w:rPr>
              <w:t>Engage with supply chain and team members to discuss and achieve optimum programme and method solutions</w:t>
            </w:r>
          </w:p>
          <w:p w:rsidR="00B06ED7" w:rsidRPr="00B06ED7" w:rsidRDefault="00B06ED7" w:rsidP="00B06ED7">
            <w:pPr>
              <w:rPr>
                <w:rFonts w:ascii="Arial" w:hAnsi="Arial" w:cs="Arial"/>
              </w:rPr>
            </w:pPr>
            <w:r w:rsidRPr="00B06ED7">
              <w:rPr>
                <w:rFonts w:ascii="Arial" w:hAnsi="Arial" w:cs="Arial"/>
              </w:rPr>
              <w:t>Attend all tender meetings incl. settlement if required</w:t>
            </w:r>
          </w:p>
          <w:p w:rsidR="00B06ED7" w:rsidRPr="00B06ED7" w:rsidRDefault="00B06ED7" w:rsidP="00B06ED7">
            <w:pPr>
              <w:rPr>
                <w:rFonts w:ascii="Arial" w:hAnsi="Arial" w:cs="Arial"/>
              </w:rPr>
            </w:pPr>
            <w:r w:rsidRPr="00B06ED7">
              <w:rPr>
                <w:rFonts w:ascii="Arial" w:hAnsi="Arial" w:cs="Arial"/>
              </w:rPr>
              <w:t>Identify, communicate and add key programme risks to the risk register</w:t>
            </w:r>
          </w:p>
          <w:p w:rsidR="00B06ED7" w:rsidRPr="00B06ED7" w:rsidRDefault="00B06ED7" w:rsidP="00B06ED7">
            <w:pPr>
              <w:rPr>
                <w:rFonts w:ascii="Arial" w:hAnsi="Arial" w:cs="Arial"/>
              </w:rPr>
            </w:pPr>
            <w:r w:rsidRPr="00B06ED7">
              <w:rPr>
                <w:rFonts w:ascii="Arial" w:hAnsi="Arial" w:cs="Arial"/>
              </w:rPr>
              <w:t>Take tender programmes for small to medium sized projects and in collaboration with site and/or project manager develop target and master programmes, fully logic linked with baseline</w:t>
            </w:r>
          </w:p>
          <w:p w:rsidR="00B06ED7" w:rsidRPr="00F354EF" w:rsidRDefault="00B06ED7" w:rsidP="00B06ED7">
            <w:pPr>
              <w:rPr>
                <w:rFonts w:ascii="Arial" w:hAnsi="Arial" w:cs="Arial"/>
              </w:rPr>
            </w:pPr>
            <w:r w:rsidRPr="00B06ED7">
              <w:rPr>
                <w:rFonts w:ascii="Arial" w:hAnsi="Arial" w:cs="Arial"/>
              </w:rPr>
              <w:t>If there is no planner on site train the project manager to progress the programme and assist periodically with a reschedule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B06ED7" w:rsidRPr="00B06ED7" w:rsidRDefault="00B06ED7" w:rsidP="00B06ED7">
            <w:pPr>
              <w:rPr>
                <w:rFonts w:ascii="Arial" w:hAnsi="Arial" w:cs="Arial"/>
              </w:rPr>
            </w:pPr>
            <w:r w:rsidRPr="00B06ED7">
              <w:rPr>
                <w:rFonts w:ascii="Arial" w:hAnsi="Arial" w:cs="Arial"/>
              </w:rPr>
              <w:t>HNC (or equivalent) in Building Studies (or equivalent)</w:t>
            </w:r>
          </w:p>
          <w:p w:rsidR="00DC67EC" w:rsidRPr="00F354EF" w:rsidRDefault="00B06ED7" w:rsidP="00B06ED7">
            <w:pPr>
              <w:rPr>
                <w:rFonts w:ascii="Arial" w:hAnsi="Arial" w:cs="Arial"/>
              </w:rPr>
            </w:pPr>
            <w:r w:rsidRPr="00B06ED7">
              <w:rPr>
                <w:rFonts w:ascii="Arial" w:hAnsi="Arial" w:cs="Arial"/>
              </w:rPr>
              <w:t>CSCS Construction Planner</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B06ED7" w:rsidRPr="00B06ED7" w:rsidRDefault="00B06ED7" w:rsidP="00B06ED7">
            <w:pPr>
              <w:rPr>
                <w:rFonts w:ascii="Arial" w:hAnsi="Arial" w:cs="Arial"/>
              </w:rPr>
            </w:pPr>
            <w:r w:rsidRPr="00B06ED7">
              <w:rPr>
                <w:rFonts w:ascii="Arial" w:hAnsi="Arial" w:cs="Arial"/>
              </w:rPr>
              <w:t xml:space="preserve">Competent in project management software; must be competent with </w:t>
            </w:r>
            <w:proofErr w:type="spellStart"/>
            <w:r w:rsidRPr="00B06ED7">
              <w:rPr>
                <w:rFonts w:ascii="Arial" w:hAnsi="Arial" w:cs="Arial"/>
              </w:rPr>
              <w:t>Asta</w:t>
            </w:r>
            <w:proofErr w:type="spellEnd"/>
            <w:r w:rsidRPr="00B06ED7">
              <w:rPr>
                <w:rFonts w:ascii="Arial" w:hAnsi="Arial" w:cs="Arial"/>
              </w:rPr>
              <w:t xml:space="preserve"> </w:t>
            </w:r>
            <w:proofErr w:type="spellStart"/>
            <w:r w:rsidRPr="00B06ED7">
              <w:rPr>
                <w:rFonts w:ascii="Arial" w:hAnsi="Arial" w:cs="Arial"/>
              </w:rPr>
              <w:t>PowerProject</w:t>
            </w:r>
            <w:proofErr w:type="spellEnd"/>
          </w:p>
          <w:p w:rsidR="00B06ED7" w:rsidRPr="00B06ED7" w:rsidRDefault="00B06ED7" w:rsidP="00B06ED7">
            <w:pPr>
              <w:rPr>
                <w:rFonts w:ascii="Arial" w:hAnsi="Arial" w:cs="Arial"/>
              </w:rPr>
            </w:pPr>
            <w:r w:rsidRPr="00B06ED7">
              <w:rPr>
                <w:rFonts w:ascii="Arial" w:hAnsi="Arial" w:cs="Arial"/>
              </w:rPr>
              <w:t>Extensive experience in programme and project management, project planning, including programme controls, project review, and cost and risk analysis</w:t>
            </w:r>
          </w:p>
          <w:p w:rsidR="00B06ED7" w:rsidRPr="00B06ED7" w:rsidRDefault="00B06ED7" w:rsidP="00B06ED7">
            <w:pPr>
              <w:rPr>
                <w:rFonts w:ascii="Arial" w:hAnsi="Arial" w:cs="Arial"/>
              </w:rPr>
            </w:pPr>
            <w:r w:rsidRPr="00B06ED7">
              <w:rPr>
                <w:rFonts w:ascii="Arial" w:hAnsi="Arial" w:cs="Arial"/>
              </w:rPr>
              <w:t>Understanding of the impact that commercial events and activities have on the baseline programme</w:t>
            </w:r>
          </w:p>
          <w:p w:rsidR="00B06ED7" w:rsidRPr="00B06ED7" w:rsidRDefault="00B06ED7" w:rsidP="00B06ED7">
            <w:pPr>
              <w:rPr>
                <w:rFonts w:ascii="Arial" w:hAnsi="Arial" w:cs="Arial"/>
              </w:rPr>
            </w:pPr>
            <w:r w:rsidRPr="00B06ED7">
              <w:rPr>
                <w:rFonts w:ascii="Arial" w:hAnsi="Arial" w:cs="Arial"/>
              </w:rPr>
              <w:t>Experience of working on multi-discipline construction projects within the sectors Morgan Sindall operates</w:t>
            </w:r>
          </w:p>
          <w:p w:rsidR="00B06ED7" w:rsidRPr="00B06ED7" w:rsidRDefault="00B06ED7" w:rsidP="00B06ED7">
            <w:pPr>
              <w:rPr>
                <w:rFonts w:ascii="Arial" w:hAnsi="Arial" w:cs="Arial"/>
              </w:rPr>
            </w:pPr>
            <w:r w:rsidRPr="00B06ED7">
              <w:rPr>
                <w:rFonts w:ascii="Arial" w:hAnsi="Arial" w:cs="Arial"/>
              </w:rPr>
              <w:t>Good attention to detail with the ability to work to challenging deadlines</w:t>
            </w:r>
          </w:p>
          <w:p w:rsidR="00B06ED7" w:rsidRPr="00B06ED7" w:rsidRDefault="00B06ED7" w:rsidP="00B06ED7">
            <w:pPr>
              <w:rPr>
                <w:rFonts w:ascii="Arial" w:hAnsi="Arial" w:cs="Arial"/>
              </w:rPr>
            </w:pPr>
            <w:r w:rsidRPr="00B06ED7">
              <w:rPr>
                <w:rFonts w:ascii="Arial" w:hAnsi="Arial" w:cs="Arial"/>
              </w:rPr>
              <w:t>Ability to recognise and record change</w:t>
            </w:r>
          </w:p>
          <w:p w:rsidR="00B06ED7" w:rsidRPr="00B06ED7" w:rsidRDefault="00B06ED7" w:rsidP="00B06ED7">
            <w:pPr>
              <w:rPr>
                <w:rFonts w:ascii="Arial" w:hAnsi="Arial" w:cs="Arial"/>
              </w:rPr>
            </w:pPr>
            <w:r w:rsidRPr="00B06ED7">
              <w:rPr>
                <w:rFonts w:ascii="Arial" w:hAnsi="Arial" w:cs="Arial"/>
              </w:rPr>
              <w:t xml:space="preserve">Ability to work as part of a team on site in some cases or be </w:t>
            </w:r>
            <w:proofErr w:type="spellStart"/>
            <w:r w:rsidRPr="00B06ED7">
              <w:rPr>
                <w:rFonts w:ascii="Arial" w:hAnsi="Arial" w:cs="Arial"/>
              </w:rPr>
              <w:t>self motivated</w:t>
            </w:r>
            <w:proofErr w:type="spellEnd"/>
            <w:r w:rsidRPr="00B06ED7">
              <w:rPr>
                <w:rFonts w:ascii="Arial" w:hAnsi="Arial" w:cs="Arial"/>
              </w:rPr>
              <w:t xml:space="preserve"> and work in isolation of other team members in other cases</w:t>
            </w:r>
          </w:p>
          <w:p w:rsidR="00B06ED7" w:rsidRPr="00B06ED7" w:rsidRDefault="00B06ED7" w:rsidP="00B06ED7">
            <w:pPr>
              <w:rPr>
                <w:rFonts w:ascii="Arial" w:hAnsi="Arial" w:cs="Arial"/>
              </w:rPr>
            </w:pPr>
            <w:r w:rsidRPr="00B06ED7">
              <w:rPr>
                <w:rFonts w:ascii="Arial" w:hAnsi="Arial" w:cs="Arial"/>
              </w:rPr>
              <w:t>Business and commercial awareness to actively measure and monitor performance with the ability to present results in a logical manner to support continuous improvement</w:t>
            </w:r>
          </w:p>
          <w:p w:rsidR="00B06ED7" w:rsidRPr="00B06ED7" w:rsidRDefault="00B06ED7" w:rsidP="00B06ED7">
            <w:pPr>
              <w:rPr>
                <w:rFonts w:ascii="Arial" w:hAnsi="Arial" w:cs="Arial"/>
              </w:rPr>
            </w:pPr>
            <w:r w:rsidRPr="00B06ED7">
              <w:rPr>
                <w:rFonts w:ascii="Arial" w:hAnsi="Arial" w:cs="Arial"/>
              </w:rPr>
              <w:t>Numerical and analytical skills with the ability to interpret data and information and produce it in a clear and logical format</w:t>
            </w:r>
          </w:p>
          <w:p w:rsidR="00B06ED7" w:rsidRPr="00B06ED7" w:rsidRDefault="00B06ED7" w:rsidP="00B06ED7">
            <w:pPr>
              <w:rPr>
                <w:rFonts w:ascii="Arial" w:hAnsi="Arial" w:cs="Arial"/>
              </w:rPr>
            </w:pPr>
            <w:r w:rsidRPr="00B06ED7">
              <w:rPr>
                <w:rFonts w:ascii="Arial" w:hAnsi="Arial" w:cs="Arial"/>
              </w:rPr>
              <w:t>Ability to work in a team environment with minimum supervision</w:t>
            </w:r>
          </w:p>
          <w:p w:rsidR="00B06ED7" w:rsidRPr="00B06ED7" w:rsidRDefault="00B06ED7" w:rsidP="00B06ED7">
            <w:pPr>
              <w:rPr>
                <w:rFonts w:ascii="Arial" w:hAnsi="Arial" w:cs="Arial"/>
              </w:rPr>
            </w:pPr>
            <w:r w:rsidRPr="00B06ED7">
              <w:rPr>
                <w:rFonts w:ascii="Arial" w:hAnsi="Arial" w:cs="Arial"/>
              </w:rPr>
              <w:t>Logical whilst creative approach to problem solving</w:t>
            </w:r>
          </w:p>
          <w:p w:rsidR="00B06ED7" w:rsidRPr="00B06ED7" w:rsidRDefault="00B06ED7" w:rsidP="00B06ED7">
            <w:pPr>
              <w:rPr>
                <w:rFonts w:ascii="Arial" w:hAnsi="Arial" w:cs="Arial"/>
              </w:rPr>
            </w:pPr>
            <w:r w:rsidRPr="00B06ED7">
              <w:rPr>
                <w:rFonts w:ascii="Arial" w:hAnsi="Arial" w:cs="Arial"/>
              </w:rPr>
              <w:t>Organisational skills with the ability to prioritise workload and meet tight deadlines</w:t>
            </w:r>
          </w:p>
          <w:p w:rsidR="00B06ED7" w:rsidRPr="00B06ED7" w:rsidRDefault="00B06ED7" w:rsidP="00B06ED7">
            <w:pPr>
              <w:rPr>
                <w:rFonts w:ascii="Arial" w:hAnsi="Arial" w:cs="Arial"/>
              </w:rPr>
            </w:pPr>
            <w:r w:rsidRPr="00B06ED7">
              <w:rPr>
                <w:rFonts w:ascii="Arial" w:hAnsi="Arial" w:cs="Arial"/>
              </w:rPr>
              <w:t>Oral communication and interpersonal skills with the ability to take a confident but diplomatic approach with colleagues and other internal and external customers</w:t>
            </w:r>
          </w:p>
          <w:p w:rsidR="00B06ED7" w:rsidRPr="00B06ED7" w:rsidRDefault="00B06ED7" w:rsidP="00B06ED7">
            <w:pPr>
              <w:rPr>
                <w:rFonts w:ascii="Arial" w:hAnsi="Arial" w:cs="Arial"/>
              </w:rPr>
            </w:pPr>
            <w:r w:rsidRPr="00B06ED7">
              <w:rPr>
                <w:rFonts w:ascii="Arial" w:hAnsi="Arial" w:cs="Arial"/>
              </w:rPr>
              <w:t>Should have significant experience of restricted city centre building/construction sites, preferably in London</w:t>
            </w:r>
          </w:p>
          <w:p w:rsidR="00B06ED7" w:rsidRPr="00B06ED7" w:rsidRDefault="00B06ED7" w:rsidP="00B06ED7">
            <w:pPr>
              <w:rPr>
                <w:rFonts w:ascii="Arial" w:hAnsi="Arial" w:cs="Arial"/>
              </w:rPr>
            </w:pPr>
            <w:r w:rsidRPr="00B06ED7">
              <w:rPr>
                <w:rFonts w:ascii="Arial" w:hAnsi="Arial" w:cs="Arial"/>
              </w:rPr>
              <w:t xml:space="preserve">Experience in site based planning </w:t>
            </w:r>
          </w:p>
          <w:p w:rsidR="00B06ED7" w:rsidRDefault="00B06ED7" w:rsidP="00B06ED7">
            <w:pPr>
              <w:rPr>
                <w:rFonts w:ascii="Arial" w:hAnsi="Arial" w:cs="Arial"/>
              </w:rPr>
            </w:pPr>
            <w:bookmarkStart w:id="0" w:name="_GoBack"/>
            <w:bookmarkEnd w:id="0"/>
            <w:r w:rsidRPr="00B06ED7">
              <w:rPr>
                <w:rFonts w:ascii="Arial" w:hAnsi="Arial" w:cs="Arial"/>
              </w:rPr>
              <w:t>Experience in the commercial or education sectors in refurbishment and new build</w:t>
            </w:r>
          </w:p>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 xml:space="preserve">Good planning and time management skills; able to manage activities </w:t>
            </w:r>
            <w:r>
              <w:rPr>
                <w:rFonts w:ascii="Arial" w:hAnsi="Arial" w:cs="Arial"/>
              </w:rPr>
              <w:lastRenderedPageBreak/>
              <w:t>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noProof/>
        <w:color w:val="1E1E1E"/>
      </w:rPr>
      <w:drawing>
        <wp:anchor distT="0" distB="0" distL="114300" distR="114300" simplePos="0" relativeHeight="251657728" behindDoc="1" locked="0" layoutInCell="1" allowOverlap="1" wp14:anchorId="1312B58B" wp14:editId="4FCB4693">
          <wp:simplePos x="0" y="0"/>
          <wp:positionH relativeFrom="column">
            <wp:posOffset>4807585</wp:posOffset>
          </wp:positionH>
          <wp:positionV relativeFrom="paragraph">
            <wp:posOffset>15875</wp:posOffset>
          </wp:positionV>
          <wp:extent cx="1438275" cy="590550"/>
          <wp:effectExtent l="0" t="0" r="0" b="0"/>
          <wp:wrapTight wrapText="bothSides">
            <wp:wrapPolygon edited="0">
              <wp:start x="0" y="0"/>
              <wp:lineTo x="0" y="20903"/>
              <wp:lineTo x="21457" y="20903"/>
              <wp:lineTo x="21457" y="0"/>
              <wp:lineTo x="0" y="0"/>
            </wp:wrapPolygon>
          </wp:wrapTight>
          <wp:docPr id="10" name="Picture 10" descr="MS_Logo_Stacked_RGB 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_Logo_Stacked_RGB 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4ED5"/>
    <w:rsid w:val="000E5632"/>
    <w:rsid w:val="000E6282"/>
    <w:rsid w:val="000F0764"/>
    <w:rsid w:val="000F428C"/>
    <w:rsid w:val="000F743B"/>
    <w:rsid w:val="001168BF"/>
    <w:rsid w:val="001245B9"/>
    <w:rsid w:val="001361E8"/>
    <w:rsid w:val="001517AD"/>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06ED7"/>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14005708">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7A51-41AE-4145-ADF7-6D94749D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Clark, Ashley (MS)</cp:lastModifiedBy>
  <cp:revision>2</cp:revision>
  <cp:lastPrinted>2014-02-21T15:39:00Z</cp:lastPrinted>
  <dcterms:created xsi:type="dcterms:W3CDTF">2015-09-29T08:53:00Z</dcterms:created>
  <dcterms:modified xsi:type="dcterms:W3CDTF">2015-09-29T08:53:00Z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