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B54BD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Commercial </w:t>
            </w:r>
            <w:r w:rsidR="006A78DA">
              <w:rPr>
                <w:sz w:val="22"/>
                <w:szCs w:val="22"/>
              </w:rPr>
              <w:t>Administrator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B272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Fee Manager</w:t>
            </w:r>
          </w:p>
        </w:tc>
      </w:tr>
      <w:tr w:rsidR="007B272D" w:rsidRPr="00FA201A" w:rsidTr="00932EA1">
        <w:trPr>
          <w:trHeight w:hRule="exact" w:val="425"/>
        </w:trPr>
        <w:tc>
          <w:tcPr>
            <w:tcW w:w="2177" w:type="dxa"/>
            <w:vAlign w:val="center"/>
          </w:tcPr>
          <w:p w:rsidR="007B272D" w:rsidRPr="00FA201A" w:rsidRDefault="007B272D" w:rsidP="00932EA1">
            <w:r>
              <w:rPr>
                <w:sz w:val="22"/>
                <w:szCs w:val="22"/>
              </w:rPr>
              <w:t>Direct reports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061" w:type="dxa"/>
            <w:vAlign w:val="center"/>
          </w:tcPr>
          <w:p w:rsidR="007B272D" w:rsidRPr="006A5805" w:rsidRDefault="007B272D" w:rsidP="0093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824" w:type="dxa"/>
            <w:vAlign w:val="center"/>
          </w:tcPr>
          <w:p w:rsidR="007B272D" w:rsidRPr="00FA201A" w:rsidRDefault="007B272D" w:rsidP="00932EA1">
            <w:r>
              <w:rPr>
                <w:sz w:val="22"/>
                <w:szCs w:val="22"/>
              </w:rPr>
              <w:t>Department</w:t>
            </w:r>
            <w:r w:rsidRPr="00FA201A">
              <w:rPr>
                <w:sz w:val="22"/>
                <w:szCs w:val="22"/>
              </w:rPr>
              <w:t>:</w:t>
            </w:r>
          </w:p>
        </w:tc>
        <w:tc>
          <w:tcPr>
            <w:tcW w:w="3358" w:type="dxa"/>
            <w:vAlign w:val="center"/>
          </w:tcPr>
          <w:p w:rsidR="007B272D" w:rsidRPr="006A5805" w:rsidRDefault="007B272D" w:rsidP="0093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7B272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6A78D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6A78DA" w:rsidP="007B2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business support </w:t>
            </w:r>
            <w:r w:rsidR="007B272D">
              <w:rPr>
                <w:sz w:val="22"/>
                <w:szCs w:val="22"/>
              </w:rPr>
              <w:t xml:space="preserve">primarily </w:t>
            </w:r>
            <w:r>
              <w:rPr>
                <w:sz w:val="22"/>
                <w:szCs w:val="22"/>
              </w:rPr>
              <w:t xml:space="preserve">to the commercial </w:t>
            </w:r>
            <w:r w:rsidR="007B272D">
              <w:rPr>
                <w:sz w:val="22"/>
                <w:szCs w:val="22"/>
              </w:rPr>
              <w:t>department but also to the finance team, split between Salford Quays and Warwick.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6A78DA" w:rsidRDefault="007B272D" w:rsidP="007B272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of the CMAP t</w:t>
            </w:r>
            <w:r w:rsidR="006A78DA">
              <w:rPr>
                <w:sz w:val="22"/>
                <w:szCs w:val="22"/>
              </w:rPr>
              <w:t>imesheet database</w:t>
            </w:r>
            <w:r>
              <w:rPr>
                <w:sz w:val="22"/>
                <w:szCs w:val="22"/>
              </w:rPr>
              <w:t xml:space="preserve"> and the </w:t>
            </w:r>
            <w:r w:rsidR="006A78DA">
              <w:rPr>
                <w:sz w:val="22"/>
                <w:szCs w:val="22"/>
              </w:rPr>
              <w:t xml:space="preserve">Work Winning </w:t>
            </w:r>
            <w:r>
              <w:rPr>
                <w:sz w:val="22"/>
                <w:szCs w:val="22"/>
              </w:rPr>
              <w:t>p</w:t>
            </w:r>
            <w:r w:rsidR="006A78DA">
              <w:rPr>
                <w:sz w:val="22"/>
                <w:szCs w:val="22"/>
              </w:rPr>
              <w:t>ortal database</w:t>
            </w:r>
          </w:p>
          <w:p w:rsidR="007B272D" w:rsidRDefault="006A78DA" w:rsidP="007B272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Maintenance of the electronic </w:t>
            </w:r>
            <w:r w:rsidR="007B272D">
              <w:rPr>
                <w:sz w:val="22"/>
                <w:szCs w:val="22"/>
              </w:rPr>
              <w:t>and physical contract libraries</w:t>
            </w:r>
          </w:p>
          <w:p w:rsidR="00897AFF" w:rsidRPr="007B272D" w:rsidRDefault="006A78DA" w:rsidP="007B272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B272D">
              <w:rPr>
                <w:sz w:val="22"/>
                <w:szCs w:val="22"/>
              </w:rPr>
              <w:t>General support of commercial and finance teams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Pr="009F46D0" w:rsidRDefault="006A5805" w:rsidP="006A5805">
      <w:pPr>
        <w:spacing w:after="120"/>
        <w:rPr>
          <w:color w:val="auto"/>
          <w:sz w:val="28"/>
          <w:szCs w:val="28"/>
        </w:rPr>
      </w:pPr>
      <w:r w:rsidRPr="009F46D0">
        <w:rPr>
          <w:color w:val="auto"/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F46D0" w:rsidRPr="009F46D0" w:rsidTr="0016486F">
        <w:tc>
          <w:tcPr>
            <w:tcW w:w="10420" w:type="dxa"/>
          </w:tcPr>
          <w:p w:rsidR="00BB6EC6" w:rsidRPr="009F46D0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8"/>
            </w:tblGrid>
            <w:tr w:rsidR="009F46D0" w:rsidRPr="009F46D0" w:rsidTr="00F66015">
              <w:tc>
                <w:tcPr>
                  <w:tcW w:w="10420" w:type="dxa"/>
                </w:tcPr>
                <w:p w:rsidR="006A78DA" w:rsidRPr="009F46D0" w:rsidRDefault="00F0084C" w:rsidP="006A78DA">
                  <w:pPr>
                    <w:pStyle w:val="Header"/>
                  </w:pPr>
                  <w:r w:rsidRPr="009F46D0">
                    <w:t>Work Winning p</w:t>
                  </w:r>
                  <w:r w:rsidR="006A78DA" w:rsidRPr="009F46D0">
                    <w:t>ortal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Day to day </w:t>
                  </w:r>
                  <w:r w:rsidR="00F0084C" w:rsidRPr="009F46D0">
                    <w:rPr>
                      <w:color w:val="auto"/>
                      <w:sz w:val="22"/>
                      <w:szCs w:val="22"/>
                    </w:rPr>
                    <w:t>administration of Work Winning p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>ortal database</w:t>
                  </w:r>
                </w:p>
                <w:p w:rsidR="006A78DA" w:rsidRPr="009F46D0" w:rsidRDefault="009E7E24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Scheduling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 xml:space="preserve"> Tender Review Board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(TRB) 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 xml:space="preserve">meetings in association with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respective Bid Manager</w:t>
                  </w:r>
                </w:p>
                <w:p w:rsidR="006A78DA" w:rsidRPr="009F46D0" w:rsidRDefault="009E7E24" w:rsidP="009F46D0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Working alongside the 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Sector Di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rectors and Bid Managers to ensure 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data is up to date and accurate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F46D0" w:rsidRPr="009F46D0" w:rsidTr="00F66015">
              <w:tc>
                <w:tcPr>
                  <w:tcW w:w="10420" w:type="dxa"/>
                </w:tcPr>
                <w:p w:rsidR="006A78DA" w:rsidRPr="009F46D0" w:rsidRDefault="00F0084C" w:rsidP="006A78DA">
                  <w:pPr>
                    <w:pStyle w:val="Header"/>
                  </w:pPr>
                  <w:r w:rsidRPr="009F46D0">
                    <w:t>CMAP t</w:t>
                  </w:r>
                  <w:r w:rsidR="006A78DA" w:rsidRPr="009F46D0">
                    <w:t>imesheet System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Day to </w:t>
                  </w:r>
                  <w:r w:rsidR="00F0084C" w:rsidRPr="009F46D0">
                    <w:rPr>
                      <w:color w:val="auto"/>
                      <w:sz w:val="22"/>
                      <w:szCs w:val="22"/>
                    </w:rPr>
                    <w:t>day administration of the CMAP t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imesheet system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Setting up new staff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&amp; contractors</w:t>
                  </w:r>
                </w:p>
                <w:p w:rsidR="006A78DA" w:rsidRPr="009F46D0" w:rsidRDefault="009F46D0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Overall m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 xml:space="preserve">anagement of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>e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nquiries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/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c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 xml:space="preserve">ontract in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CMAP &amp;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liaising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with finance to ensure contract set up in COINS (general ledger)</w:t>
                  </w:r>
                </w:p>
                <w:p w:rsidR="006A78DA" w:rsidRPr="009F46D0" w:rsidRDefault="009F46D0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Provision of both regular and adhoc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 xml:space="preserve"> reports 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Identifying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and providing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coaching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/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training needs of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CMAP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users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Database administration in accordance with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>reporting timetable</w:t>
                  </w:r>
                </w:p>
                <w:p w:rsidR="006A78DA" w:rsidRPr="009F46D0" w:rsidRDefault="009E7E24" w:rsidP="009E7E24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Administration, ownership and c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orrection of mis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s</w:t>
                  </w:r>
                  <w:r w:rsidR="006A78DA" w:rsidRPr="009F46D0">
                    <w:rPr>
                      <w:color w:val="auto"/>
                      <w:sz w:val="22"/>
                      <w:szCs w:val="22"/>
                    </w:rPr>
                    <w:t>posted timesheets</w:t>
                  </w:r>
                </w:p>
              </w:tc>
            </w:tr>
            <w:tr w:rsidR="009F46D0" w:rsidRPr="009F46D0" w:rsidTr="00F66015">
              <w:tc>
                <w:tcPr>
                  <w:tcW w:w="10420" w:type="dxa"/>
                </w:tcPr>
                <w:p w:rsidR="006A78DA" w:rsidRPr="009F46D0" w:rsidRDefault="009E7E24" w:rsidP="006A78DA">
                  <w:pPr>
                    <w:pStyle w:val="Header"/>
                  </w:pPr>
                  <w:r w:rsidRPr="009F46D0">
                    <w:t>Contract a</w:t>
                  </w:r>
                  <w:r w:rsidR="006A78DA" w:rsidRPr="009F46D0">
                    <w:t>dministration</w:t>
                  </w:r>
                </w:p>
                <w:p w:rsidR="006A78DA" w:rsidRPr="009F46D0" w:rsidRDefault="006A78DA" w:rsidP="009F46D0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Day to day administration of the electronic contract library</w:t>
                  </w:r>
                </w:p>
                <w:p w:rsidR="006A78DA" w:rsidRPr="009F46D0" w:rsidRDefault="006A78DA" w:rsidP="009F46D0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Day to day administration of the physical contract library in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>Warwick</w:t>
                  </w:r>
                </w:p>
                <w:p w:rsidR="006A78DA" w:rsidRPr="009F46D0" w:rsidRDefault="006A78DA" w:rsidP="009F46D0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Assisting </w:t>
                  </w:r>
                  <w:r w:rsidR="009E7E24" w:rsidRPr="009F46D0">
                    <w:rPr>
                      <w:color w:val="auto"/>
                      <w:sz w:val="22"/>
                      <w:szCs w:val="22"/>
                    </w:rPr>
                    <w:t xml:space="preserve">in </w:t>
                  </w:r>
                  <w:r w:rsidRPr="009F46D0">
                    <w:rPr>
                      <w:color w:val="auto"/>
                      <w:sz w:val="22"/>
                      <w:szCs w:val="22"/>
                    </w:rPr>
                    <w:t>the process of executing contract documents</w:t>
                  </w:r>
                </w:p>
              </w:tc>
            </w:tr>
            <w:tr w:rsidR="009F46D0" w:rsidRPr="009F46D0" w:rsidTr="00F66015">
              <w:tc>
                <w:tcPr>
                  <w:tcW w:w="10420" w:type="dxa"/>
                </w:tcPr>
                <w:p w:rsidR="006A78DA" w:rsidRPr="009F46D0" w:rsidRDefault="006A78DA" w:rsidP="006A78DA">
                  <w:pPr>
                    <w:pStyle w:val="Header"/>
                  </w:pPr>
                  <w:r w:rsidRPr="009F46D0">
                    <w:t>Miscellaneous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 xml:space="preserve">Assisting in the day to day administration of the commercial </w:t>
                  </w:r>
                  <w:r w:rsidR="009F46D0" w:rsidRPr="009F46D0">
                    <w:rPr>
                      <w:color w:val="auto"/>
                      <w:sz w:val="22"/>
                      <w:szCs w:val="22"/>
                    </w:rPr>
                    <w:t>department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General filing</w:t>
                  </w:r>
                </w:p>
                <w:p w:rsidR="006A78DA" w:rsidRPr="009F46D0" w:rsidRDefault="006A78DA" w:rsidP="006A78DA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Raising invoices/credit notes</w:t>
                  </w:r>
                </w:p>
                <w:p w:rsidR="009F46D0" w:rsidRPr="009F46D0" w:rsidRDefault="009F46D0" w:rsidP="007B272D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2"/>
                      <w:szCs w:val="22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Identification of process improvement opportunities</w:t>
                  </w:r>
                </w:p>
                <w:p w:rsidR="006A78DA" w:rsidRPr="009F46D0" w:rsidRDefault="009F46D0" w:rsidP="007B272D">
                  <w:pPr>
                    <w:numPr>
                      <w:ilvl w:val="0"/>
                      <w:numId w:val="22"/>
                    </w:numPr>
                    <w:tabs>
                      <w:tab w:val="clear" w:pos="566"/>
                      <w:tab w:val="clear" w:pos="1132"/>
                    </w:tabs>
                    <w:ind w:left="567" w:hanging="454"/>
                    <w:rPr>
                      <w:color w:val="auto"/>
                      <w:sz w:val="28"/>
                      <w:szCs w:val="28"/>
                    </w:rPr>
                  </w:pPr>
                  <w:r w:rsidRPr="009F46D0">
                    <w:rPr>
                      <w:color w:val="auto"/>
                      <w:sz w:val="22"/>
                      <w:szCs w:val="22"/>
                    </w:rPr>
                    <w:t>Other ad hoc and routine work as required</w:t>
                  </w:r>
                </w:p>
              </w:tc>
            </w:tr>
          </w:tbl>
          <w:p w:rsidR="0085632F" w:rsidRPr="009F46D0" w:rsidRDefault="0085632F" w:rsidP="006A78DA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7B272D" w:rsidRDefault="007B272D" w:rsidP="007B272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7B272D" w:rsidRDefault="007B272D" w:rsidP="007B272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administration knowledge / experience advantageous</w:t>
            </w:r>
            <w:r w:rsidR="009F46D0">
              <w:rPr>
                <w:sz w:val="22"/>
                <w:szCs w:val="22"/>
              </w:rPr>
              <w:t xml:space="preserve"> but not essential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7B272D" w:rsidRDefault="007B272D" w:rsidP="007B272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6A78DA" w:rsidRDefault="006A78DA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organised</w:t>
            </w:r>
          </w:p>
          <w:p w:rsidR="006A78DA" w:rsidRDefault="007B272D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 w:rsidR="006A78DA">
              <w:rPr>
                <w:sz w:val="22"/>
                <w:szCs w:val="22"/>
              </w:rPr>
              <w:t xml:space="preserve"> </w:t>
            </w:r>
            <w:r w:rsidR="006A78DA" w:rsidRPr="006232BF">
              <w:rPr>
                <w:sz w:val="22"/>
                <w:szCs w:val="22"/>
              </w:rPr>
              <w:t>communication skills</w:t>
            </w:r>
          </w:p>
          <w:p w:rsidR="006A78DA" w:rsidRPr="006232BF" w:rsidRDefault="007B272D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</w:t>
            </w:r>
            <w:r w:rsidR="006A78DA">
              <w:rPr>
                <w:sz w:val="22"/>
                <w:szCs w:val="22"/>
              </w:rPr>
              <w:t xml:space="preserve"> </w:t>
            </w:r>
            <w:r w:rsidR="006A78DA" w:rsidRPr="006232BF">
              <w:rPr>
                <w:sz w:val="22"/>
                <w:szCs w:val="22"/>
              </w:rPr>
              <w:t>numeric and computer literacy</w:t>
            </w:r>
          </w:p>
          <w:p w:rsidR="006A78DA" w:rsidRPr="006232BF" w:rsidRDefault="007B272D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  <w:r w:rsidR="006A78DA" w:rsidRPr="006232BF">
              <w:rPr>
                <w:sz w:val="22"/>
                <w:szCs w:val="22"/>
              </w:rPr>
              <w:t xml:space="preserve"> problem solving skills and creative flair</w:t>
            </w:r>
          </w:p>
          <w:p w:rsidR="006A78DA" w:rsidRPr="006232BF" w:rsidRDefault="006A78DA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232BF">
              <w:rPr>
                <w:sz w:val="22"/>
                <w:szCs w:val="22"/>
              </w:rPr>
              <w:t>Able to quickly build strong working relationships with people at all levels</w:t>
            </w:r>
          </w:p>
          <w:p w:rsidR="006A78DA" w:rsidRDefault="006A78DA" w:rsidP="006A78DA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232BF">
              <w:rPr>
                <w:sz w:val="22"/>
                <w:szCs w:val="22"/>
              </w:rPr>
              <w:t>Confidence when working autonomously</w:t>
            </w:r>
          </w:p>
          <w:p w:rsidR="00BB6EC6" w:rsidRPr="00630350" w:rsidRDefault="00BB6EC6" w:rsidP="007B272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EB" w:rsidRDefault="00C546EB">
      <w:r>
        <w:separator/>
      </w:r>
    </w:p>
  </w:endnote>
  <w:endnote w:type="continuationSeparator" w:id="0">
    <w:p w:rsidR="00C546EB" w:rsidRDefault="00C5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</w:t>
    </w:r>
    <w:r w:rsidR="007B272D">
      <w:rPr>
        <w:sz w:val="16"/>
        <w:szCs w:val="16"/>
      </w:rPr>
      <w:t>aker</w:t>
    </w:r>
    <w:r>
      <w:rPr>
        <w:sz w:val="16"/>
        <w:szCs w:val="16"/>
      </w:rPr>
      <w:t>Hicks Limited</w:t>
    </w:r>
  </w:p>
  <w:p w:rsidR="00706EDC" w:rsidRDefault="007B272D" w:rsidP="006A5805">
    <w:pPr>
      <w:pStyle w:val="Footer"/>
      <w:jc w:val="right"/>
    </w:pPr>
    <w:r>
      <w:rPr>
        <w:sz w:val="16"/>
        <w:szCs w:val="16"/>
      </w:rPr>
      <w:t>Commercial administrator, Commercial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EB" w:rsidRDefault="00C546EB">
      <w:r>
        <w:separator/>
      </w:r>
    </w:p>
  </w:footnote>
  <w:footnote w:type="continuationSeparator" w:id="0">
    <w:p w:rsidR="00C546EB" w:rsidRDefault="00C5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5"/>
  </w:num>
  <w:num w:numId="5">
    <w:abstractNumId w:val="28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27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5"/>
  </w:num>
  <w:num w:numId="24">
    <w:abstractNumId w:val="6"/>
  </w:num>
  <w:num w:numId="25">
    <w:abstractNumId w:val="26"/>
  </w:num>
  <w:num w:numId="26">
    <w:abstractNumId w:val="22"/>
  </w:num>
  <w:num w:numId="27">
    <w:abstractNumId w:val="18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8DA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272D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107D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7E24"/>
    <w:rsid w:val="009F010F"/>
    <w:rsid w:val="009F3276"/>
    <w:rsid w:val="009F46D0"/>
    <w:rsid w:val="009F5892"/>
    <w:rsid w:val="00A0167F"/>
    <w:rsid w:val="00A019FE"/>
    <w:rsid w:val="00A035BB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4BD1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46EB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0084C"/>
    <w:rsid w:val="00F117A1"/>
    <w:rsid w:val="00F12297"/>
    <w:rsid w:val="00F12CBF"/>
    <w:rsid w:val="00F14341"/>
    <w:rsid w:val="00F152FD"/>
    <w:rsid w:val="00F40679"/>
    <w:rsid w:val="00F422DA"/>
    <w:rsid w:val="00F43663"/>
    <w:rsid w:val="00F62643"/>
    <w:rsid w:val="00F65B52"/>
    <w:rsid w:val="00F72BFA"/>
    <w:rsid w:val="00F76327"/>
    <w:rsid w:val="00F96F3C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3347678A-3140-4907-A26E-9CCC49B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2322-BA8F-43C3-A0DE-1EC0BAB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Archer, Chris (BakerHicks)</cp:lastModifiedBy>
  <cp:revision>6</cp:revision>
  <cp:lastPrinted>2017-05-23T13:01:00Z</cp:lastPrinted>
  <dcterms:created xsi:type="dcterms:W3CDTF">2017-05-23T13:27:00Z</dcterms:created>
  <dcterms:modified xsi:type="dcterms:W3CDTF">2019-02-17T19:17:00Z</dcterms:modified>
</cp:coreProperties>
</file>